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E1602"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4C5ED9">
        <w:rPr>
          <w:rFonts w:ascii="Times New Roman" w:hAnsi="Times New Roman"/>
          <w:color w:val="00548C"/>
          <w:sz w:val="36"/>
        </w:rPr>
        <w:t>Heart</w:t>
      </w:r>
      <w:r w:rsidR="002D63DD">
        <w:rPr>
          <w:rFonts w:ascii="Times New Roman" w:hAnsi="Times New Roman"/>
          <w:color w:val="00548C"/>
          <w:sz w:val="36"/>
        </w:rPr>
        <w:t>-</w:t>
      </w:r>
      <w:r w:rsidR="004C5ED9">
        <w:rPr>
          <w:rFonts w:ascii="Times New Roman" w:hAnsi="Times New Roman"/>
          <w:color w:val="00548C"/>
          <w:sz w:val="36"/>
        </w:rPr>
        <w:t>Lung Transplant</w:t>
      </w:r>
    </w:p>
    <w:p w14:paraId="3652793D" w14:textId="77777777" w:rsidR="00B777AF" w:rsidRDefault="00B777AF" w:rsidP="00D574CA">
      <w:pPr>
        <w:pStyle w:val="PolicyMainHead"/>
        <w:tabs>
          <w:tab w:val="left" w:pos="360"/>
        </w:tabs>
        <w:spacing w:after="0" w:line="240" w:lineRule="auto"/>
        <w:rPr>
          <w:color w:val="00548C"/>
          <w:sz w:val="24"/>
        </w:rPr>
        <w:sectPr w:rsidR="00B777AF" w:rsidSect="00075E3B">
          <w:headerReference w:type="default" r:id="rId11"/>
          <w:footerReference w:type="default" r:id="rId12"/>
          <w:headerReference w:type="first" r:id="rId13"/>
          <w:footerReference w:type="first" r:id="rId14"/>
          <w:pgSz w:w="12240" w:h="15840" w:code="1"/>
          <w:pgMar w:top="1289" w:right="907" w:bottom="1152" w:left="1440" w:header="576" w:footer="288" w:gutter="0"/>
          <w:cols w:space="720"/>
          <w:titlePg/>
          <w:docGrid w:linePitch="360"/>
        </w:sectPr>
      </w:pPr>
    </w:p>
    <w:p w14:paraId="1501E0DF" w14:textId="77777777" w:rsidR="00480C09" w:rsidRPr="003D7BE7" w:rsidRDefault="00D574CA" w:rsidP="00A96E90">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AA7B88">
        <w:rPr>
          <w:rFonts w:ascii="Times New Roman" w:hAnsi="Times New Roman"/>
          <w:color w:val="00548C"/>
          <w:sz w:val="24"/>
          <w:szCs w:val="24"/>
        </w:rPr>
        <w:t>132</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786725">
        <w:rPr>
          <w:rFonts w:ascii="Times New Roman" w:hAnsi="Times New Roman"/>
          <w:color w:val="00548C"/>
          <w:sz w:val="24"/>
          <w:szCs w:val="24"/>
        </w:rPr>
        <w:tab/>
      </w:r>
      <w:r w:rsidR="00786725">
        <w:rPr>
          <w:rFonts w:ascii="Times New Roman" w:hAnsi="Times New Roman"/>
          <w:color w:val="00548C"/>
          <w:sz w:val="24"/>
          <w:szCs w:val="24"/>
        </w:rPr>
        <w:tab/>
      </w:r>
      <w:r w:rsidR="00786725">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041C77F9" w14:textId="47A78CAD"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Last Review Date:</w:t>
      </w:r>
      <w:r w:rsidR="00DF5471">
        <w:rPr>
          <w:rFonts w:ascii="Times New Roman" w:hAnsi="Times New Roman"/>
          <w:color w:val="00548C"/>
          <w:sz w:val="24"/>
          <w:szCs w:val="24"/>
        </w:rPr>
        <w:t xml:space="preserve"> 0</w:t>
      </w:r>
      <w:r w:rsidR="00713CA9">
        <w:rPr>
          <w:rFonts w:ascii="Times New Roman" w:hAnsi="Times New Roman"/>
          <w:color w:val="00548C"/>
          <w:sz w:val="24"/>
          <w:szCs w:val="24"/>
        </w:rPr>
        <w:t>4</w:t>
      </w:r>
      <w:r w:rsidR="00DF5471">
        <w:rPr>
          <w:rFonts w:ascii="Times New Roman" w:hAnsi="Times New Roman"/>
          <w:color w:val="00548C"/>
          <w:sz w:val="24"/>
          <w:szCs w:val="24"/>
        </w:rPr>
        <w:t>/</w:t>
      </w:r>
      <w:r w:rsidR="00EB2B65">
        <w:rPr>
          <w:rFonts w:ascii="Times New Roman" w:hAnsi="Times New Roman"/>
          <w:color w:val="00548C"/>
          <w:sz w:val="24"/>
          <w:szCs w:val="24"/>
        </w:rPr>
        <w:t>19</w:t>
      </w:r>
      <w:r w:rsidR="00EB2B65" w:rsidRPr="003D7BE7">
        <w:rPr>
          <w:rFonts w:ascii="Times New Roman" w:hAnsi="Times New Roman"/>
          <w:color w:val="00548C"/>
          <w:sz w:val="24"/>
          <w:szCs w:val="24"/>
        </w:rPr>
        <w:t xml:space="preserve"> </w:t>
      </w:r>
    </w:p>
    <w:p w14:paraId="53333E55" w14:textId="77777777" w:rsidR="00875924" w:rsidRDefault="007335ED"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6FEB2987"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2BA51A6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77F2ACB8"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33D8FDBD" w14:textId="77777777" w:rsidR="00583376" w:rsidRPr="00B777AF" w:rsidRDefault="00583376">
      <w:pPr>
        <w:pStyle w:val="Heading2"/>
        <w:rPr>
          <w:u w:val="none"/>
        </w:rPr>
      </w:pPr>
      <w:r w:rsidRPr="00B777AF">
        <w:rPr>
          <w:u w:val="none"/>
        </w:rPr>
        <w:t xml:space="preserve">Description </w:t>
      </w:r>
    </w:p>
    <w:p w14:paraId="268B0EE8" w14:textId="77777777" w:rsidR="00E80E7C" w:rsidRDefault="00E80E7C" w:rsidP="00E80E7C">
      <w:r>
        <w:t>Heart</w:t>
      </w:r>
      <w:r w:rsidR="002D63DD">
        <w:t>-</w:t>
      </w:r>
      <w:r>
        <w:t>lung transplantation is treatment of choice for patients with both end</w:t>
      </w:r>
      <w:r w:rsidR="003319AE">
        <w:t>-</w:t>
      </w:r>
      <w:r>
        <w:t xml:space="preserve">stage </w:t>
      </w:r>
      <w:r w:rsidR="003319AE">
        <w:t xml:space="preserve">heart </w:t>
      </w:r>
      <w:r>
        <w:t xml:space="preserve">and </w:t>
      </w:r>
      <w:r w:rsidR="003319AE">
        <w:t xml:space="preserve">end-stage lung </w:t>
      </w:r>
      <w:r>
        <w:t>disease.  This policy establishes the medical necessity requirements heart</w:t>
      </w:r>
      <w:r w:rsidR="003319AE">
        <w:t>-</w:t>
      </w:r>
      <w:r>
        <w:t xml:space="preserve">lung transplants.  </w:t>
      </w:r>
    </w:p>
    <w:p w14:paraId="3FC7AC8E" w14:textId="77777777" w:rsidR="005D7B81" w:rsidRPr="00B777AF" w:rsidRDefault="005D7B81" w:rsidP="00196935"/>
    <w:p w14:paraId="6A3387FE" w14:textId="77777777" w:rsidR="00583376" w:rsidRPr="00B777AF" w:rsidRDefault="00583376">
      <w:pPr>
        <w:pStyle w:val="Heading2"/>
        <w:rPr>
          <w:u w:val="none"/>
        </w:rPr>
      </w:pPr>
      <w:r w:rsidRPr="00B777AF">
        <w:rPr>
          <w:u w:val="none"/>
        </w:rPr>
        <w:t>Policy/Criteria</w:t>
      </w:r>
    </w:p>
    <w:p w14:paraId="55F51541" w14:textId="77777777"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673151">
        <w:t>heart</w:t>
      </w:r>
      <w:r w:rsidR="003319AE">
        <w:t>-</w:t>
      </w:r>
      <w:r w:rsidR="00673151">
        <w:t xml:space="preserve">lung transplant </w:t>
      </w:r>
      <w:r w:rsidR="00C96847">
        <w:t xml:space="preserve">is </w:t>
      </w:r>
      <w:r w:rsidR="00C96847" w:rsidRPr="005D6347">
        <w:rPr>
          <w:b/>
        </w:rPr>
        <w:t>medically necessary</w:t>
      </w:r>
      <w:r w:rsidR="00C96847">
        <w:t xml:space="preserve"> </w:t>
      </w:r>
      <w:r w:rsidR="00673151">
        <w:t>f</w:t>
      </w:r>
      <w:r w:rsidR="009D5928">
        <w:t xml:space="preserve">or </w:t>
      </w:r>
      <w:r w:rsidR="00673151">
        <w:t xml:space="preserve">members </w:t>
      </w:r>
      <w:r w:rsidR="003319AE">
        <w:t xml:space="preserve">who </w:t>
      </w:r>
      <w:r w:rsidR="00673151">
        <w:t>m</w:t>
      </w:r>
      <w:r w:rsidR="003319AE">
        <w:t>e</w:t>
      </w:r>
      <w:r w:rsidR="00673151">
        <w:t>et</w:t>
      </w:r>
      <w:r w:rsidR="003319AE">
        <w:t xml:space="preserve"> all of the following guidelines</w:t>
      </w:r>
      <w:r w:rsidR="00673151">
        <w:t>:</w:t>
      </w:r>
    </w:p>
    <w:p w14:paraId="363D53BA" w14:textId="77777777" w:rsidR="003319AE" w:rsidRDefault="003319AE" w:rsidP="00673151">
      <w:pPr>
        <w:numPr>
          <w:ilvl w:val="1"/>
          <w:numId w:val="11"/>
        </w:numPr>
        <w:ind w:left="720"/>
      </w:pPr>
      <w:r>
        <w:t>End-stage heart and end-stage lung disease due to one of the following:</w:t>
      </w:r>
    </w:p>
    <w:p w14:paraId="69C1DCBC" w14:textId="77777777" w:rsidR="00673151" w:rsidRDefault="003319AE" w:rsidP="00AE3D06">
      <w:pPr>
        <w:numPr>
          <w:ilvl w:val="2"/>
          <w:numId w:val="11"/>
        </w:numPr>
        <w:ind w:left="1080" w:hanging="360"/>
      </w:pPr>
      <w:r>
        <w:t>Age</w:t>
      </w:r>
      <w:r w:rsidR="00673151">
        <w:t xml:space="preserve"> &gt; 18 years </w:t>
      </w:r>
      <w:r>
        <w:t>and</w:t>
      </w:r>
      <w:r w:rsidR="00673151">
        <w:t xml:space="preserve"> any of the following:</w:t>
      </w:r>
    </w:p>
    <w:p w14:paraId="4D3E1427" w14:textId="77777777" w:rsidR="00673151" w:rsidRDefault="00673151" w:rsidP="00AE3D06">
      <w:pPr>
        <w:numPr>
          <w:ilvl w:val="2"/>
          <w:numId w:val="25"/>
        </w:numPr>
        <w:ind w:left="1440" w:hanging="360"/>
      </w:pPr>
      <w:r w:rsidRPr="00133A63">
        <w:t>Irreversible primary pulmonary</w:t>
      </w:r>
      <w:r>
        <w:t xml:space="preserve"> hypertension with heart failure</w:t>
      </w:r>
      <w:r w:rsidR="00C571DB">
        <w:t>;</w:t>
      </w:r>
    </w:p>
    <w:p w14:paraId="6197FFAC" w14:textId="77777777" w:rsidR="00673151" w:rsidRDefault="00673151" w:rsidP="00AE3D06">
      <w:pPr>
        <w:numPr>
          <w:ilvl w:val="2"/>
          <w:numId w:val="25"/>
        </w:numPr>
        <w:ind w:left="1440" w:hanging="360"/>
      </w:pPr>
      <w:r w:rsidRPr="00133A63">
        <w:t>Nonspecific severe pulmonary fibrosis</w:t>
      </w:r>
      <w:r w:rsidR="00C571DB">
        <w:t>;</w:t>
      </w:r>
    </w:p>
    <w:p w14:paraId="1F384BB8" w14:textId="77777777" w:rsidR="00673151" w:rsidRDefault="00673151" w:rsidP="00AE3D06">
      <w:pPr>
        <w:numPr>
          <w:ilvl w:val="2"/>
          <w:numId w:val="25"/>
        </w:numPr>
        <w:ind w:left="1440" w:hanging="360"/>
      </w:pPr>
      <w:r w:rsidRPr="00133A63">
        <w:t>Eisenmenger complex with irreversible pulmonary hypertension and heart failure</w:t>
      </w:r>
      <w:r w:rsidR="00C571DB">
        <w:t>;</w:t>
      </w:r>
    </w:p>
    <w:p w14:paraId="4DBD8A57" w14:textId="77777777" w:rsidR="00673151" w:rsidRDefault="00673151" w:rsidP="00AE3D06">
      <w:pPr>
        <w:numPr>
          <w:ilvl w:val="2"/>
          <w:numId w:val="25"/>
        </w:numPr>
        <w:ind w:left="1440" w:hanging="360"/>
      </w:pPr>
      <w:r w:rsidRPr="00133A63">
        <w:t>Cystic fibrosis with severe heart failure</w:t>
      </w:r>
      <w:r w:rsidR="00C571DB">
        <w:t>;</w:t>
      </w:r>
    </w:p>
    <w:p w14:paraId="7B7103CB" w14:textId="77777777" w:rsidR="00673151" w:rsidRDefault="00673151" w:rsidP="00AE3D06">
      <w:pPr>
        <w:numPr>
          <w:ilvl w:val="2"/>
          <w:numId w:val="25"/>
        </w:numPr>
        <w:ind w:left="1440" w:hanging="360"/>
      </w:pPr>
      <w:r w:rsidRPr="00133A63">
        <w:t>Chronic obstructive pulmonary disease with heart failure</w:t>
      </w:r>
      <w:r w:rsidR="00C571DB">
        <w:t>;</w:t>
      </w:r>
    </w:p>
    <w:p w14:paraId="39AB7AEF" w14:textId="77777777" w:rsidR="00673151" w:rsidRDefault="00673151" w:rsidP="00AE3D06">
      <w:pPr>
        <w:numPr>
          <w:ilvl w:val="2"/>
          <w:numId w:val="25"/>
        </w:numPr>
        <w:ind w:left="1440" w:hanging="360"/>
      </w:pPr>
      <w:r w:rsidRPr="00133A63">
        <w:t>Emphysema with severe heart failure</w:t>
      </w:r>
      <w:r w:rsidR="00C571DB">
        <w:t>;</w:t>
      </w:r>
    </w:p>
    <w:p w14:paraId="0297E3CB" w14:textId="77777777" w:rsidR="00673151" w:rsidRDefault="00673151" w:rsidP="00AE3D06">
      <w:pPr>
        <w:numPr>
          <w:ilvl w:val="2"/>
          <w:numId w:val="25"/>
        </w:numPr>
        <w:ind w:left="1440" w:hanging="360"/>
      </w:pPr>
      <w:r w:rsidRPr="00133A63">
        <w:t>Pulmonary fibrosis with uncontrollable pulmonary hypertension or heart failure</w:t>
      </w:r>
      <w:r w:rsidR="00C571DB">
        <w:t>;</w:t>
      </w:r>
    </w:p>
    <w:p w14:paraId="180A825E" w14:textId="77777777" w:rsidR="00673151" w:rsidRDefault="00673151" w:rsidP="00AE3D06">
      <w:pPr>
        <w:numPr>
          <w:ilvl w:val="2"/>
          <w:numId w:val="25"/>
        </w:numPr>
        <w:ind w:left="1440" w:hanging="360"/>
      </w:pPr>
      <w:r w:rsidRPr="00133A63">
        <w:t xml:space="preserve">Non-complex congenital heart disease associated with pulmonary hypertension that </w:t>
      </w:r>
      <w:r w:rsidR="00483B17">
        <w:t>is</w:t>
      </w:r>
      <w:r w:rsidRPr="00133A63">
        <w:t xml:space="preserve"> not amenable to lung transplantation and repair by standard surgery</w:t>
      </w:r>
      <w:r w:rsidR="00C571DB">
        <w:t>;</w:t>
      </w:r>
    </w:p>
    <w:p w14:paraId="66381CA7" w14:textId="77777777" w:rsidR="003F3D44" w:rsidRDefault="00673151" w:rsidP="00AE3D06">
      <w:pPr>
        <w:numPr>
          <w:ilvl w:val="2"/>
          <w:numId w:val="25"/>
        </w:numPr>
        <w:ind w:left="1440" w:hanging="360"/>
      </w:pPr>
      <w:r w:rsidRPr="00133A63">
        <w:t>Severe coronary artery disease or cardiomyopathy with irreversible pulmonary hypertension</w:t>
      </w:r>
      <w:r w:rsidR="00C571DB">
        <w:t>;</w:t>
      </w:r>
    </w:p>
    <w:p w14:paraId="11B00E9C" w14:textId="77777777" w:rsidR="00673151" w:rsidRDefault="003319AE" w:rsidP="00AE3D06">
      <w:pPr>
        <w:numPr>
          <w:ilvl w:val="2"/>
          <w:numId w:val="11"/>
        </w:numPr>
        <w:ind w:left="1080" w:hanging="360"/>
      </w:pPr>
      <w:r>
        <w:t>Age</w:t>
      </w:r>
      <w:r w:rsidR="00673151">
        <w:t xml:space="preserve"> </w:t>
      </w:r>
      <w:r w:rsidR="00583648">
        <w:t>≤</w:t>
      </w:r>
      <w:r w:rsidR="00673151">
        <w:t xml:space="preserve"> 18 years </w:t>
      </w:r>
      <w:r>
        <w:t>and any</w:t>
      </w:r>
      <w:r w:rsidR="00673151">
        <w:t xml:space="preserve"> of the following:</w:t>
      </w:r>
    </w:p>
    <w:p w14:paraId="2A2D2547" w14:textId="77777777" w:rsidR="00583648" w:rsidRDefault="00583648" w:rsidP="00AE3D06">
      <w:pPr>
        <w:numPr>
          <w:ilvl w:val="0"/>
          <w:numId w:val="26"/>
        </w:numPr>
        <w:ind w:left="1440"/>
      </w:pPr>
      <w:r w:rsidRPr="00133A63">
        <w:t>Eisenmenger</w:t>
      </w:r>
      <w:r>
        <w:t xml:space="preserve"> syndrome</w:t>
      </w:r>
      <w:r w:rsidR="00C571DB">
        <w:t>;</w:t>
      </w:r>
    </w:p>
    <w:p w14:paraId="20FBEDE3" w14:textId="77777777" w:rsidR="00583648" w:rsidRDefault="00583648" w:rsidP="00AE3D06">
      <w:pPr>
        <w:numPr>
          <w:ilvl w:val="0"/>
          <w:numId w:val="26"/>
        </w:numPr>
        <w:ind w:left="1440"/>
      </w:pPr>
      <w:r>
        <w:t>Heart re-transplant</w:t>
      </w:r>
      <w:r w:rsidR="00C571DB">
        <w:t>;</w:t>
      </w:r>
    </w:p>
    <w:p w14:paraId="7BE1CFD0" w14:textId="77777777" w:rsidR="00583648" w:rsidRDefault="00583648" w:rsidP="00AE3D06">
      <w:pPr>
        <w:numPr>
          <w:ilvl w:val="0"/>
          <w:numId w:val="26"/>
        </w:numPr>
        <w:ind w:left="1440"/>
      </w:pPr>
      <w:r>
        <w:t>Alpha 1 antitrypsin deficiency</w:t>
      </w:r>
      <w:r w:rsidR="00C571DB">
        <w:t>;</w:t>
      </w:r>
    </w:p>
    <w:p w14:paraId="20EE612A" w14:textId="77777777" w:rsidR="00583648" w:rsidRDefault="00583648" w:rsidP="00AE3D06">
      <w:pPr>
        <w:numPr>
          <w:ilvl w:val="0"/>
          <w:numId w:val="26"/>
        </w:numPr>
        <w:ind w:left="1440"/>
      </w:pPr>
      <w:r>
        <w:t>Lung re-transplant</w:t>
      </w:r>
      <w:r w:rsidR="00C571DB">
        <w:t>;</w:t>
      </w:r>
    </w:p>
    <w:p w14:paraId="741252CF" w14:textId="77777777" w:rsidR="00583648" w:rsidRDefault="00583648" w:rsidP="00AE3D06">
      <w:pPr>
        <w:numPr>
          <w:ilvl w:val="0"/>
          <w:numId w:val="26"/>
        </w:numPr>
        <w:ind w:left="1440"/>
      </w:pPr>
      <w:r>
        <w:t>Alveolar proteinosis</w:t>
      </w:r>
      <w:r w:rsidR="00C571DB">
        <w:t>;</w:t>
      </w:r>
    </w:p>
    <w:p w14:paraId="7DFFC522" w14:textId="77777777" w:rsidR="00583648" w:rsidRDefault="00583648" w:rsidP="00AE3D06">
      <w:pPr>
        <w:numPr>
          <w:ilvl w:val="0"/>
          <w:numId w:val="26"/>
        </w:numPr>
        <w:ind w:left="1440"/>
      </w:pPr>
      <w:r>
        <w:t>Primary pulmonary hypertension</w:t>
      </w:r>
      <w:r w:rsidR="00C571DB">
        <w:t>;</w:t>
      </w:r>
    </w:p>
    <w:p w14:paraId="583AA5F5" w14:textId="77777777" w:rsidR="00583648" w:rsidRDefault="00583648" w:rsidP="00AE3D06">
      <w:pPr>
        <w:numPr>
          <w:ilvl w:val="0"/>
          <w:numId w:val="26"/>
        </w:numPr>
        <w:ind w:left="1440"/>
      </w:pPr>
      <w:r>
        <w:t>Pulmonary vascular disease</w:t>
      </w:r>
      <w:r w:rsidR="00C571DB">
        <w:t>;</w:t>
      </w:r>
    </w:p>
    <w:p w14:paraId="5CFD848A" w14:textId="77777777" w:rsidR="00583648" w:rsidRDefault="00583648" w:rsidP="00AE3D06">
      <w:pPr>
        <w:numPr>
          <w:ilvl w:val="0"/>
          <w:numId w:val="26"/>
        </w:numPr>
        <w:ind w:left="1440"/>
      </w:pPr>
      <w:r>
        <w:t>Restrictive cardiomyopathy</w:t>
      </w:r>
      <w:r w:rsidR="00C571DB">
        <w:t>;</w:t>
      </w:r>
    </w:p>
    <w:p w14:paraId="04D2887D" w14:textId="77777777" w:rsidR="00583648" w:rsidRDefault="00583648" w:rsidP="00AE3D06">
      <w:pPr>
        <w:numPr>
          <w:ilvl w:val="0"/>
          <w:numId w:val="26"/>
        </w:numPr>
        <w:ind w:left="1440"/>
      </w:pPr>
      <w:r>
        <w:t>Congenital heart disease</w:t>
      </w:r>
      <w:r w:rsidR="00C571DB">
        <w:t>;</w:t>
      </w:r>
    </w:p>
    <w:p w14:paraId="1BCADB89" w14:textId="77777777" w:rsidR="00673151" w:rsidRDefault="00673151" w:rsidP="00AE3D06">
      <w:pPr>
        <w:numPr>
          <w:ilvl w:val="0"/>
          <w:numId w:val="26"/>
        </w:numPr>
        <w:ind w:left="1440"/>
      </w:pPr>
      <w:r>
        <w:t>Cystic fibrosis</w:t>
      </w:r>
      <w:r w:rsidR="00C571DB">
        <w:t>;</w:t>
      </w:r>
    </w:p>
    <w:p w14:paraId="5054CC1E" w14:textId="77777777" w:rsidR="00583648" w:rsidRDefault="00583648" w:rsidP="00AE3D06">
      <w:pPr>
        <w:numPr>
          <w:ilvl w:val="0"/>
          <w:numId w:val="26"/>
        </w:numPr>
        <w:ind w:left="1440"/>
      </w:pPr>
      <w:r>
        <w:t>Dilated cardiomyopathy</w:t>
      </w:r>
      <w:r w:rsidR="00C571DB">
        <w:t>;</w:t>
      </w:r>
    </w:p>
    <w:p w14:paraId="60278153" w14:textId="77777777" w:rsidR="00583648" w:rsidRDefault="00583648" w:rsidP="00583648">
      <w:pPr>
        <w:ind w:left="1260"/>
      </w:pPr>
    </w:p>
    <w:p w14:paraId="6699329A" w14:textId="77777777" w:rsidR="00692A0B" w:rsidRDefault="003319AE" w:rsidP="00692A0B">
      <w:pPr>
        <w:pStyle w:val="ListParagraph"/>
        <w:numPr>
          <w:ilvl w:val="1"/>
          <w:numId w:val="11"/>
        </w:numPr>
        <w:ind w:left="720"/>
      </w:pPr>
      <w:r>
        <w:rPr>
          <w:bCs/>
          <w:color w:val="000000"/>
        </w:rPr>
        <w:t>M</w:t>
      </w:r>
      <w:r w:rsidR="00692A0B" w:rsidRPr="00B72FA0">
        <w:rPr>
          <w:bCs/>
          <w:color w:val="000000"/>
        </w:rPr>
        <w:t xml:space="preserve">eets </w:t>
      </w:r>
      <w:r>
        <w:rPr>
          <w:bCs/>
          <w:color w:val="000000"/>
        </w:rPr>
        <w:t>the following disease severity</w:t>
      </w:r>
      <w:r w:rsidR="00692A0B" w:rsidRPr="00B72FA0">
        <w:rPr>
          <w:bCs/>
          <w:color w:val="000000"/>
        </w:rPr>
        <w:t xml:space="preserve"> criteria</w:t>
      </w:r>
      <w:r w:rsidR="00692A0B">
        <w:rPr>
          <w:bCs/>
          <w:color w:val="000000"/>
        </w:rPr>
        <w:t>:</w:t>
      </w:r>
      <w:r w:rsidR="00692A0B">
        <w:t xml:space="preserve"> </w:t>
      </w:r>
    </w:p>
    <w:p w14:paraId="1E373BE7" w14:textId="77777777" w:rsidR="00463067" w:rsidRPr="00463067" w:rsidRDefault="00463067" w:rsidP="00AE3D06">
      <w:pPr>
        <w:numPr>
          <w:ilvl w:val="2"/>
          <w:numId w:val="11"/>
        </w:numPr>
        <w:ind w:left="1080" w:hanging="360"/>
      </w:pPr>
      <w:r>
        <w:rPr>
          <w:color w:val="000000"/>
        </w:rPr>
        <w:t>Meets one of the following staging criteria:</w:t>
      </w:r>
    </w:p>
    <w:p w14:paraId="4801CD5B" w14:textId="77777777" w:rsidR="00692A0B" w:rsidRPr="00463067" w:rsidRDefault="000B78FA" w:rsidP="000B78FA">
      <w:pPr>
        <w:numPr>
          <w:ilvl w:val="3"/>
          <w:numId w:val="11"/>
        </w:numPr>
        <w:ind w:left="1440"/>
      </w:pPr>
      <w:r w:rsidRPr="00AE3D06">
        <w:rPr>
          <w:color w:val="000000"/>
        </w:rPr>
        <w:t>Age</w:t>
      </w:r>
      <w:r>
        <w:rPr>
          <w:color w:val="000000"/>
        </w:rPr>
        <w:t xml:space="preserve"> </w:t>
      </w:r>
      <w:r w:rsidRPr="00AE3D06">
        <w:rPr>
          <w:color w:val="000000"/>
        </w:rPr>
        <w:t>&gt; 18 years:</w:t>
      </w:r>
      <w:r w:rsidR="00463067">
        <w:rPr>
          <w:color w:val="000000"/>
        </w:rPr>
        <w:t xml:space="preserve"> </w:t>
      </w:r>
      <w:r w:rsidR="00692A0B">
        <w:rPr>
          <w:color w:val="000000"/>
        </w:rPr>
        <w:t xml:space="preserve">New </w:t>
      </w:r>
      <w:r w:rsidR="00692A0B" w:rsidRPr="00752ADF">
        <w:rPr>
          <w:color w:val="000000"/>
          <w:lang w:val="x-none"/>
        </w:rPr>
        <w:t>York Heart Association classification of heart failure III</w:t>
      </w:r>
      <w:r w:rsidR="00463067">
        <w:rPr>
          <w:color w:val="000000"/>
        </w:rPr>
        <w:t xml:space="preserve"> or IV </w:t>
      </w:r>
      <w:r>
        <w:rPr>
          <w:color w:val="000000"/>
        </w:rPr>
        <w:t>(</w:t>
      </w:r>
      <w:r w:rsidR="00463067">
        <w:rPr>
          <w:color w:val="000000"/>
        </w:rPr>
        <w:t>Table 1</w:t>
      </w:r>
      <w:r>
        <w:rPr>
          <w:color w:val="000000"/>
        </w:rPr>
        <w:t>); or</w:t>
      </w:r>
    </w:p>
    <w:p w14:paraId="082FFDFE" w14:textId="77777777" w:rsidR="00463067" w:rsidRPr="00463067" w:rsidRDefault="000B78FA" w:rsidP="000B78FA">
      <w:pPr>
        <w:numPr>
          <w:ilvl w:val="3"/>
          <w:numId w:val="11"/>
        </w:numPr>
        <w:ind w:left="1440"/>
      </w:pPr>
      <w:r w:rsidRPr="00AE3D06">
        <w:rPr>
          <w:color w:val="000000"/>
        </w:rPr>
        <w:t>Age ≤ 18 years</w:t>
      </w:r>
      <w:r w:rsidR="00463067">
        <w:rPr>
          <w:color w:val="000000"/>
        </w:rPr>
        <w:t xml:space="preserve">: American Heart Association Stage C or Stage D heart disease, </w:t>
      </w:r>
      <w:r>
        <w:rPr>
          <w:color w:val="000000"/>
        </w:rPr>
        <w:t>(</w:t>
      </w:r>
      <w:r w:rsidR="00463067">
        <w:rPr>
          <w:color w:val="000000"/>
        </w:rPr>
        <w:t>Table 2</w:t>
      </w:r>
      <w:r>
        <w:rPr>
          <w:color w:val="000000"/>
        </w:rPr>
        <w:t xml:space="preserve">); </w:t>
      </w:r>
    </w:p>
    <w:p w14:paraId="342FBC43" w14:textId="77777777" w:rsidR="00692A0B" w:rsidRPr="00752ADF" w:rsidRDefault="00692A0B" w:rsidP="00AE3D06">
      <w:pPr>
        <w:numPr>
          <w:ilvl w:val="2"/>
          <w:numId w:val="11"/>
        </w:numPr>
        <w:ind w:left="1080" w:hanging="360"/>
        <w:rPr>
          <w:color w:val="000000"/>
        </w:rPr>
      </w:pPr>
      <w:r w:rsidRPr="00AE3D06">
        <w:rPr>
          <w:color w:val="000000"/>
        </w:rPr>
        <w:t>Adequate functional status</w:t>
      </w:r>
      <w:r>
        <w:rPr>
          <w:color w:val="000000"/>
        </w:rPr>
        <w:t xml:space="preserve"> with the ability for rehabilitation</w:t>
      </w:r>
      <w:r w:rsidR="000B78FA">
        <w:rPr>
          <w:color w:val="000000"/>
        </w:rPr>
        <w:t>;</w:t>
      </w:r>
    </w:p>
    <w:p w14:paraId="265618A7" w14:textId="77777777" w:rsidR="00692A0B" w:rsidRDefault="00692A0B" w:rsidP="00AE3D06">
      <w:pPr>
        <w:numPr>
          <w:ilvl w:val="2"/>
          <w:numId w:val="11"/>
        </w:numPr>
        <w:ind w:left="1080" w:hanging="360"/>
        <w:rPr>
          <w:color w:val="000000"/>
        </w:rPr>
      </w:pPr>
      <w:r w:rsidRPr="00AE3D06">
        <w:rPr>
          <w:color w:val="000000"/>
        </w:rPr>
        <w:lastRenderedPageBreak/>
        <w:t>Li</w:t>
      </w:r>
      <w:r w:rsidRPr="00752ADF">
        <w:rPr>
          <w:color w:val="000000"/>
          <w:lang w:val="x-none"/>
        </w:rPr>
        <w:t>fe expectancy in the abs</w:t>
      </w:r>
      <w:r>
        <w:rPr>
          <w:color w:val="000000"/>
          <w:lang w:val="x-none"/>
        </w:rPr>
        <w:t>ence of cardiopulmonary disease ≥</w:t>
      </w:r>
      <w:r w:rsidR="000B78FA">
        <w:rPr>
          <w:color w:val="000000"/>
        </w:rPr>
        <w:t xml:space="preserve"> </w:t>
      </w:r>
      <w:r w:rsidRPr="00752ADF">
        <w:rPr>
          <w:color w:val="000000"/>
          <w:lang w:val="x-none"/>
        </w:rPr>
        <w:t>2</w:t>
      </w:r>
      <w:r>
        <w:rPr>
          <w:color w:val="000000"/>
        </w:rPr>
        <w:t xml:space="preserve"> years</w:t>
      </w:r>
      <w:r w:rsidR="000B78FA">
        <w:rPr>
          <w:color w:val="000000"/>
        </w:rPr>
        <w:t>;</w:t>
      </w:r>
    </w:p>
    <w:p w14:paraId="4FFC8EFE" w14:textId="77777777" w:rsidR="00692A0B" w:rsidRDefault="00692A0B" w:rsidP="00E41F6E">
      <w:pPr>
        <w:ind w:left="900" w:hanging="450"/>
      </w:pPr>
    </w:p>
    <w:p w14:paraId="27067553" w14:textId="5443C3A5" w:rsidR="00673151" w:rsidRDefault="00692A0B" w:rsidP="000B78FA">
      <w:pPr>
        <w:numPr>
          <w:ilvl w:val="1"/>
          <w:numId w:val="11"/>
        </w:numPr>
        <w:ind w:left="720"/>
      </w:pPr>
      <w:r>
        <w:t>Does not have any of the following contraindications</w:t>
      </w:r>
      <w:r w:rsidR="00A14EDB">
        <w:t>:</w:t>
      </w:r>
    </w:p>
    <w:p w14:paraId="19638B78" w14:textId="77777777" w:rsidR="007D3037" w:rsidRPr="00B50942" w:rsidRDefault="007D3037" w:rsidP="007D3037">
      <w:pPr>
        <w:numPr>
          <w:ilvl w:val="2"/>
          <w:numId w:val="11"/>
        </w:numPr>
        <w:tabs>
          <w:tab w:val="left" w:pos="2520"/>
        </w:tabs>
        <w:ind w:left="1080" w:hanging="360"/>
      </w:pPr>
      <w:r w:rsidRPr="00A63550">
        <w:rPr>
          <w:color w:val="000000"/>
          <w:lang w:val="x-none"/>
        </w:rPr>
        <w:t>HIV</w:t>
      </w:r>
      <w:r w:rsidRPr="00A63550">
        <w:t xml:space="preserve"> </w:t>
      </w:r>
      <w:r>
        <w:rPr>
          <w:color w:val="000000"/>
        </w:rPr>
        <w:t>and any of the following:</w:t>
      </w:r>
    </w:p>
    <w:p w14:paraId="1AEA3AE3" w14:textId="77777777" w:rsidR="007D3037" w:rsidRPr="00B50942" w:rsidRDefault="007D3037" w:rsidP="007D3037">
      <w:pPr>
        <w:numPr>
          <w:ilvl w:val="3"/>
          <w:numId w:val="11"/>
        </w:numPr>
        <w:tabs>
          <w:tab w:val="left" w:pos="2520"/>
        </w:tabs>
        <w:ind w:left="1440"/>
      </w:pPr>
      <w:r>
        <w:rPr>
          <w:color w:val="000000"/>
        </w:rPr>
        <w:t>Active or prior opportunistic infections (progressive multifocal leukoencephalopathy or chronic intestinal cryptosporidiosis &gt; 1 month);</w:t>
      </w:r>
    </w:p>
    <w:p w14:paraId="26E1C419" w14:textId="250B9715" w:rsidR="007D3037" w:rsidRPr="0023495F" w:rsidRDefault="007D3037" w:rsidP="007D3037">
      <w:pPr>
        <w:numPr>
          <w:ilvl w:val="3"/>
          <w:numId w:val="11"/>
        </w:numPr>
        <w:tabs>
          <w:tab w:val="left" w:pos="2520"/>
        </w:tabs>
        <w:ind w:left="1440"/>
      </w:pPr>
      <w:r>
        <w:rPr>
          <w:color w:val="000000"/>
        </w:rPr>
        <w:t>Has not been clinically stable and compliant on combination antiretroviral therapy for &gt; 3 months;</w:t>
      </w:r>
    </w:p>
    <w:p w14:paraId="2EB1C4A3" w14:textId="5B3FC966" w:rsidR="007D3037" w:rsidRPr="0023495F" w:rsidRDefault="007D3037" w:rsidP="0023495F">
      <w:pPr>
        <w:numPr>
          <w:ilvl w:val="3"/>
          <w:numId w:val="11"/>
        </w:numPr>
        <w:tabs>
          <w:tab w:val="left" w:pos="2520"/>
        </w:tabs>
        <w:ind w:left="1440"/>
        <w:rPr>
          <w:color w:val="000000"/>
        </w:rPr>
      </w:pPr>
      <w:r w:rsidRPr="0023495F">
        <w:rPr>
          <w:color w:val="000000"/>
        </w:rPr>
        <w:t>Detectable HIV RNA;</w:t>
      </w:r>
    </w:p>
    <w:p w14:paraId="4B5A360B" w14:textId="6BB03093" w:rsidR="007D3037" w:rsidRPr="007D3037" w:rsidRDefault="007D3037" w:rsidP="0023495F">
      <w:pPr>
        <w:numPr>
          <w:ilvl w:val="3"/>
          <w:numId w:val="11"/>
        </w:numPr>
        <w:tabs>
          <w:tab w:val="left" w:pos="2520"/>
        </w:tabs>
        <w:ind w:left="1440"/>
        <w:rPr>
          <w:color w:val="000000"/>
        </w:rPr>
      </w:pPr>
      <w:r w:rsidRPr="007D3037">
        <w:rPr>
          <w:color w:val="000000"/>
        </w:rPr>
        <w:t>Has not had CD4 counts &gt; 200 cells/μl for &gt;3 months</w:t>
      </w:r>
      <w:r>
        <w:rPr>
          <w:color w:val="000000"/>
        </w:rPr>
        <w:t>;</w:t>
      </w:r>
    </w:p>
    <w:p w14:paraId="46B57352" w14:textId="5A3C035F" w:rsidR="00F31F52" w:rsidRPr="00075E3B" w:rsidRDefault="00F31F52" w:rsidP="00075E3B">
      <w:pPr>
        <w:numPr>
          <w:ilvl w:val="2"/>
          <w:numId w:val="11"/>
        </w:numPr>
        <w:tabs>
          <w:tab w:val="left" w:pos="2520"/>
        </w:tabs>
        <w:ind w:left="1080" w:hanging="360"/>
        <w:rPr>
          <w:color w:val="000000"/>
        </w:rPr>
      </w:pPr>
      <w:r>
        <w:rPr>
          <w:color w:val="000000"/>
        </w:rPr>
        <w:t>History of psychological, behavioral, or cognitive disorders, poor family support structures, or documented noncompliance with previous therapies that could interfere with successful performance of care regimens after transplantation;</w:t>
      </w:r>
      <w:r w:rsidRPr="00075E3B">
        <w:rPr>
          <w:color w:val="000000"/>
        </w:rPr>
        <w:t xml:space="preserve"> </w:t>
      </w:r>
    </w:p>
    <w:p w14:paraId="09B05DF0" w14:textId="77777777" w:rsidR="00E66CD7" w:rsidRPr="00A63550" w:rsidRDefault="00E66CD7" w:rsidP="000B78FA">
      <w:pPr>
        <w:numPr>
          <w:ilvl w:val="2"/>
          <w:numId w:val="11"/>
        </w:numPr>
        <w:tabs>
          <w:tab w:val="left" w:pos="2520"/>
        </w:tabs>
        <w:ind w:left="1080" w:hanging="360"/>
      </w:pPr>
      <w:r w:rsidRPr="00A63550">
        <w:rPr>
          <w:color w:val="000000"/>
        </w:rPr>
        <w:t>S</w:t>
      </w:r>
      <w:r w:rsidRPr="00A63550">
        <w:rPr>
          <w:color w:val="000000"/>
          <w:lang w:val="x-none"/>
        </w:rPr>
        <w:t>evere,</w:t>
      </w:r>
      <w:r w:rsidRPr="00A63550">
        <w:rPr>
          <w:color w:val="000000"/>
        </w:rPr>
        <w:t xml:space="preserve"> </w:t>
      </w:r>
      <w:r w:rsidRPr="00A63550">
        <w:rPr>
          <w:color w:val="000000"/>
          <w:lang w:val="x-none"/>
        </w:rPr>
        <w:t>irreversible disease in other organ systems or when it is part</w:t>
      </w:r>
      <w:r w:rsidRPr="00A63550">
        <w:rPr>
          <w:color w:val="000000"/>
        </w:rPr>
        <w:t xml:space="preserve"> </w:t>
      </w:r>
      <w:r w:rsidRPr="00A63550">
        <w:rPr>
          <w:color w:val="000000"/>
          <w:lang w:val="x-none"/>
        </w:rPr>
        <w:t>of a severe, irreversible, multisystemic</w:t>
      </w:r>
      <w:r w:rsidR="00C571DB">
        <w:rPr>
          <w:color w:val="000000"/>
          <w:lang w:val="x-none"/>
        </w:rPr>
        <w:t xml:space="preserve"> disease process;</w:t>
      </w:r>
    </w:p>
    <w:p w14:paraId="4E106BA5" w14:textId="77777777" w:rsidR="00E66CD7" w:rsidRPr="00A63550" w:rsidRDefault="00E66CD7" w:rsidP="000B78FA">
      <w:pPr>
        <w:numPr>
          <w:ilvl w:val="2"/>
          <w:numId w:val="11"/>
        </w:numPr>
        <w:tabs>
          <w:tab w:val="left" w:pos="2520"/>
        </w:tabs>
        <w:ind w:left="1080" w:hanging="360"/>
      </w:pPr>
      <w:r w:rsidRPr="00A63550">
        <w:rPr>
          <w:color w:val="000000"/>
        </w:rPr>
        <w:t>S</w:t>
      </w:r>
      <w:r w:rsidRPr="00A63550">
        <w:rPr>
          <w:color w:val="000000"/>
          <w:lang w:val="x-none"/>
        </w:rPr>
        <w:t>evere, irreversible, fixed elevation of pulmonary vascular</w:t>
      </w:r>
      <w:r w:rsidR="000B78FA">
        <w:rPr>
          <w:color w:val="000000"/>
        </w:rPr>
        <w:t xml:space="preserve"> </w:t>
      </w:r>
      <w:r w:rsidRPr="00A63550">
        <w:rPr>
          <w:color w:val="000000"/>
          <w:lang w:val="x-none"/>
        </w:rPr>
        <w:t>resistance</w:t>
      </w:r>
      <w:r w:rsidR="00C571DB">
        <w:rPr>
          <w:color w:val="000000"/>
        </w:rPr>
        <w:t>;</w:t>
      </w:r>
      <w:r w:rsidRPr="00A63550">
        <w:rPr>
          <w:color w:val="000000"/>
          <w:lang w:val="x-none"/>
        </w:rPr>
        <w:t xml:space="preserve"> </w:t>
      </w:r>
    </w:p>
    <w:p w14:paraId="66FE8044" w14:textId="77777777" w:rsidR="00E66CD7" w:rsidRPr="00A63550" w:rsidRDefault="00E66CD7" w:rsidP="000B78FA">
      <w:pPr>
        <w:numPr>
          <w:ilvl w:val="2"/>
          <w:numId w:val="11"/>
        </w:numPr>
        <w:tabs>
          <w:tab w:val="left" w:pos="2520"/>
        </w:tabs>
        <w:ind w:left="1080" w:hanging="360"/>
      </w:pPr>
      <w:r w:rsidRPr="00A63550">
        <w:rPr>
          <w:color w:val="000000"/>
        </w:rPr>
        <w:t>S</w:t>
      </w:r>
      <w:r w:rsidRPr="00A63550">
        <w:rPr>
          <w:color w:val="000000"/>
          <w:lang w:val="x-none"/>
        </w:rPr>
        <w:t>evere hypoplasia of the central branch pulmonary arteries</w:t>
      </w:r>
      <w:r w:rsidRPr="00A63550">
        <w:rPr>
          <w:color w:val="000000"/>
        </w:rPr>
        <w:t xml:space="preserve"> </w:t>
      </w:r>
      <w:r w:rsidRPr="00A63550">
        <w:rPr>
          <w:color w:val="000000"/>
          <w:lang w:val="x-none"/>
        </w:rPr>
        <w:t>or pulmonary veins</w:t>
      </w:r>
      <w:r w:rsidR="00C571DB">
        <w:rPr>
          <w:color w:val="000000"/>
        </w:rPr>
        <w:t>;</w:t>
      </w:r>
      <w:r w:rsidRPr="00A63550">
        <w:rPr>
          <w:color w:val="000000"/>
          <w:lang w:val="x-none"/>
        </w:rPr>
        <w:t xml:space="preserve"> </w:t>
      </w:r>
    </w:p>
    <w:p w14:paraId="4C8B9D0D" w14:textId="77777777" w:rsidR="00E66CD7" w:rsidRPr="00A63550" w:rsidRDefault="00E66CD7" w:rsidP="000B78FA">
      <w:pPr>
        <w:numPr>
          <w:ilvl w:val="2"/>
          <w:numId w:val="11"/>
        </w:numPr>
        <w:tabs>
          <w:tab w:val="left" w:pos="2520"/>
        </w:tabs>
        <w:ind w:left="1080" w:hanging="360"/>
      </w:pPr>
      <w:r w:rsidRPr="00A63550">
        <w:rPr>
          <w:color w:val="000000"/>
        </w:rPr>
        <w:t>A</w:t>
      </w:r>
      <w:r w:rsidRPr="00A63550">
        <w:rPr>
          <w:color w:val="000000"/>
          <w:lang w:val="x-none"/>
        </w:rPr>
        <w:t>ny specific congenital heart lesion</w:t>
      </w:r>
      <w:r w:rsidR="00C571DB">
        <w:rPr>
          <w:color w:val="000000"/>
        </w:rPr>
        <w:t>;</w:t>
      </w:r>
    </w:p>
    <w:p w14:paraId="2314C83A" w14:textId="77777777" w:rsidR="006945A4" w:rsidRPr="006945A4" w:rsidRDefault="006945A4" w:rsidP="000B78FA">
      <w:pPr>
        <w:numPr>
          <w:ilvl w:val="2"/>
          <w:numId w:val="11"/>
        </w:numPr>
        <w:tabs>
          <w:tab w:val="left" w:pos="2520"/>
        </w:tabs>
        <w:ind w:left="1080" w:hanging="360"/>
      </w:pPr>
      <w:r>
        <w:rPr>
          <w:color w:val="000000"/>
        </w:rPr>
        <w:t>C</w:t>
      </w:r>
      <w:r w:rsidRPr="006945A4">
        <w:rPr>
          <w:color w:val="000000"/>
        </w:rPr>
        <w:t>urrent episode of ongoing acute allograft rejection, even in the presence of graft vasculopathy, and retransplantation is requested</w:t>
      </w:r>
      <w:r>
        <w:rPr>
          <w:color w:val="000000"/>
          <w:lang w:val="x-none"/>
        </w:rPr>
        <w:t>;</w:t>
      </w:r>
    </w:p>
    <w:p w14:paraId="6F521E00" w14:textId="77777777" w:rsidR="006945A4" w:rsidRPr="006945A4" w:rsidRDefault="006945A4" w:rsidP="000B78FA">
      <w:pPr>
        <w:numPr>
          <w:ilvl w:val="2"/>
          <w:numId w:val="11"/>
        </w:numPr>
        <w:tabs>
          <w:tab w:val="left" w:pos="2520"/>
        </w:tabs>
        <w:ind w:left="1080" w:hanging="360"/>
      </w:pPr>
      <w:r w:rsidRPr="006945A4">
        <w:rPr>
          <w:color w:val="000000"/>
        </w:rPr>
        <w:t>Less than 6 months have passed since the primary transplantation and retransplantation is requested</w:t>
      </w:r>
      <w:r>
        <w:rPr>
          <w:color w:val="000000"/>
        </w:rPr>
        <w:t>;</w:t>
      </w:r>
    </w:p>
    <w:p w14:paraId="3C55EA66" w14:textId="77777777" w:rsidR="00E66CD7" w:rsidRDefault="00E66CD7" w:rsidP="000B78FA">
      <w:pPr>
        <w:numPr>
          <w:ilvl w:val="2"/>
          <w:numId w:val="11"/>
        </w:numPr>
        <w:tabs>
          <w:tab w:val="left" w:pos="2520"/>
        </w:tabs>
        <w:ind w:left="1080" w:hanging="360"/>
      </w:pPr>
      <w:r w:rsidRPr="006945A4">
        <w:rPr>
          <w:bCs/>
          <w:color w:val="000000"/>
        </w:rPr>
        <w:t>M</w:t>
      </w:r>
      <w:r w:rsidRPr="00A63550">
        <w:rPr>
          <w:bCs/>
          <w:color w:val="000000"/>
        </w:rPr>
        <w:t>alignancy in the past two years, except for non-melanoma localized skin cancer that has been treated appropriately;</w:t>
      </w:r>
    </w:p>
    <w:p w14:paraId="470E2365" w14:textId="77777777" w:rsidR="00E66CD7" w:rsidRDefault="00E66CD7" w:rsidP="000B78FA">
      <w:pPr>
        <w:numPr>
          <w:ilvl w:val="2"/>
          <w:numId w:val="11"/>
        </w:numPr>
        <w:tabs>
          <w:tab w:val="left" w:pos="1440"/>
          <w:tab w:val="left" w:pos="2520"/>
        </w:tabs>
        <w:ind w:left="1080" w:hanging="360"/>
      </w:pPr>
      <w:r w:rsidRPr="00A63550">
        <w:rPr>
          <w:bCs/>
          <w:color w:val="000000"/>
        </w:rPr>
        <w:t>Uncorrected atherosclerotic disease with suspected or confirmed end-organ ischemia or dysfunction and/or coronary artery disease not amenable to revascularization;</w:t>
      </w:r>
    </w:p>
    <w:p w14:paraId="0470B974" w14:textId="77777777" w:rsidR="00E66CD7" w:rsidRDefault="00E66CD7" w:rsidP="000B78FA">
      <w:pPr>
        <w:numPr>
          <w:ilvl w:val="2"/>
          <w:numId w:val="11"/>
        </w:numPr>
        <w:tabs>
          <w:tab w:val="left" w:pos="2520"/>
        </w:tabs>
        <w:ind w:left="1080" w:hanging="360"/>
      </w:pPr>
      <w:r w:rsidRPr="00A63550">
        <w:rPr>
          <w:bCs/>
          <w:color w:val="000000"/>
        </w:rPr>
        <w:t>Acute medical instability, including, but not limited to, acute sepsis, myocardial infarction, and liver failure</w:t>
      </w:r>
      <w:r>
        <w:rPr>
          <w:bCs/>
          <w:color w:val="000000"/>
        </w:rPr>
        <w:t>;</w:t>
      </w:r>
    </w:p>
    <w:p w14:paraId="73874FDC" w14:textId="77777777" w:rsidR="00E66CD7" w:rsidRDefault="00E66CD7" w:rsidP="000B78FA">
      <w:pPr>
        <w:numPr>
          <w:ilvl w:val="2"/>
          <w:numId w:val="11"/>
        </w:numPr>
        <w:tabs>
          <w:tab w:val="left" w:pos="2520"/>
        </w:tabs>
        <w:ind w:left="1080" w:hanging="360"/>
      </w:pPr>
      <w:r w:rsidRPr="00A63550">
        <w:rPr>
          <w:bCs/>
          <w:color w:val="000000"/>
        </w:rPr>
        <w:t>Uncorrectable bleeding diathesis;</w:t>
      </w:r>
    </w:p>
    <w:p w14:paraId="290F9805" w14:textId="77777777" w:rsidR="00E66CD7" w:rsidRDefault="00E66CD7" w:rsidP="000B78FA">
      <w:pPr>
        <w:numPr>
          <w:ilvl w:val="2"/>
          <w:numId w:val="11"/>
        </w:numPr>
        <w:tabs>
          <w:tab w:val="left" w:pos="2520"/>
        </w:tabs>
        <w:ind w:left="1080" w:hanging="360"/>
      </w:pPr>
      <w:r w:rsidRPr="00A63550">
        <w:rPr>
          <w:bCs/>
          <w:color w:val="000000"/>
        </w:rPr>
        <w:t>Chronic infection with highly virulent and/or resistant microbes that are poorly controlled pre-transplant;</w:t>
      </w:r>
    </w:p>
    <w:p w14:paraId="5647BD46" w14:textId="77777777" w:rsidR="00E66CD7" w:rsidRDefault="00E66CD7" w:rsidP="000B78FA">
      <w:pPr>
        <w:numPr>
          <w:ilvl w:val="2"/>
          <w:numId w:val="11"/>
        </w:numPr>
        <w:tabs>
          <w:tab w:val="left" w:pos="2520"/>
        </w:tabs>
        <w:ind w:left="1080" w:hanging="360"/>
      </w:pPr>
      <w:r w:rsidRPr="00A63550">
        <w:rPr>
          <w:bCs/>
          <w:color w:val="000000"/>
        </w:rPr>
        <w:t>Evidence of active Mycobacterium tuberculosis infection;</w:t>
      </w:r>
    </w:p>
    <w:p w14:paraId="19350EE2" w14:textId="77777777" w:rsidR="00E66CD7" w:rsidRDefault="00E66CD7" w:rsidP="000B78FA">
      <w:pPr>
        <w:numPr>
          <w:ilvl w:val="2"/>
          <w:numId w:val="11"/>
        </w:numPr>
        <w:tabs>
          <w:tab w:val="left" w:pos="2520"/>
        </w:tabs>
        <w:ind w:left="1080" w:hanging="360"/>
      </w:pPr>
      <w:r w:rsidRPr="00A63550">
        <w:rPr>
          <w:bCs/>
          <w:color w:val="000000"/>
        </w:rPr>
        <w:t xml:space="preserve">Significant chest wall/spinal deformity expected to cause severe restriction after transplantation; </w:t>
      </w:r>
    </w:p>
    <w:p w14:paraId="2388AF86" w14:textId="77777777" w:rsidR="00E66CD7" w:rsidRDefault="00E66CD7" w:rsidP="000B78FA">
      <w:pPr>
        <w:numPr>
          <w:ilvl w:val="2"/>
          <w:numId w:val="11"/>
        </w:numPr>
        <w:tabs>
          <w:tab w:val="left" w:pos="2520"/>
        </w:tabs>
        <w:ind w:left="1080" w:hanging="360"/>
      </w:pPr>
      <w:r w:rsidRPr="00A63550">
        <w:rPr>
          <w:bCs/>
          <w:color w:val="000000"/>
        </w:rPr>
        <w:t>Class II or III obesity (body mass index ≥35.0 kg/m</w:t>
      </w:r>
      <w:r w:rsidRPr="00A63550">
        <w:rPr>
          <w:bCs/>
          <w:color w:val="000000"/>
          <w:vertAlign w:val="superscript"/>
        </w:rPr>
        <w:t>2)</w:t>
      </w:r>
      <w:r w:rsidRPr="00A63550">
        <w:rPr>
          <w:bCs/>
          <w:color w:val="000000"/>
        </w:rPr>
        <w:t>;</w:t>
      </w:r>
    </w:p>
    <w:p w14:paraId="4DC25CBA" w14:textId="77777777" w:rsidR="00E66CD7" w:rsidRDefault="00E66CD7" w:rsidP="000B78FA">
      <w:pPr>
        <w:numPr>
          <w:ilvl w:val="2"/>
          <w:numId w:val="11"/>
        </w:numPr>
        <w:tabs>
          <w:tab w:val="left" w:pos="2520"/>
        </w:tabs>
        <w:ind w:left="1080" w:hanging="360"/>
      </w:pPr>
      <w:r w:rsidRPr="00A63550">
        <w:rPr>
          <w:bCs/>
          <w:color w:val="000000"/>
        </w:rPr>
        <w:t>Current non-adherence to medical therapy or a history of repeated or prolonged episodes of non-adherence to medical therapy that are perceived to increase the risk of non-adherence after transplantation;</w:t>
      </w:r>
    </w:p>
    <w:p w14:paraId="346C3C7D" w14:textId="6D76903B" w:rsidR="00673151" w:rsidRPr="00075E3B" w:rsidRDefault="00E66CD7">
      <w:pPr>
        <w:numPr>
          <w:ilvl w:val="2"/>
          <w:numId w:val="11"/>
        </w:numPr>
        <w:tabs>
          <w:tab w:val="left" w:pos="2520"/>
        </w:tabs>
        <w:ind w:left="1080" w:hanging="360"/>
      </w:pPr>
      <w:r w:rsidRPr="00E66CD7">
        <w:rPr>
          <w:bCs/>
          <w:color w:val="000000"/>
        </w:rPr>
        <w:t xml:space="preserve">Substance abuse or dependence (including tobacco and alcohol) without convincing evidence of risk reduction behaviors, such as meaningful and/or long-term participation in therapy for substance abuse and/or dependence. </w:t>
      </w:r>
      <w:r w:rsidR="00C52774">
        <w:rPr>
          <w:bCs/>
          <w:color w:val="000000"/>
        </w:rPr>
        <w:t xml:space="preserve"> </w:t>
      </w:r>
      <w:r w:rsidRPr="00E66CD7">
        <w:rPr>
          <w:bCs/>
          <w:color w:val="000000"/>
        </w:rPr>
        <w:t>Serial blood and urine testing may be used to verify abstinence from substances that are of concern</w:t>
      </w:r>
      <w:r w:rsidR="00DE55BC">
        <w:rPr>
          <w:bCs/>
          <w:color w:val="000000"/>
        </w:rPr>
        <w:t>;</w:t>
      </w:r>
    </w:p>
    <w:p w14:paraId="2FDADDBD" w14:textId="37AB8D7A" w:rsidR="00DE55BC" w:rsidRDefault="00DE55BC">
      <w:pPr>
        <w:numPr>
          <w:ilvl w:val="2"/>
          <w:numId w:val="11"/>
        </w:numPr>
        <w:tabs>
          <w:tab w:val="left" w:pos="2520"/>
        </w:tabs>
        <w:ind w:left="1080" w:hanging="360"/>
      </w:pPr>
      <w:r>
        <w:rPr>
          <w:bCs/>
          <w:color w:val="000000"/>
        </w:rPr>
        <w:t>Active peptic ulcer disease.</w:t>
      </w:r>
    </w:p>
    <w:tbl>
      <w:tblPr>
        <w:tblStyle w:val="ListTable3-Accent1"/>
        <w:tblpPr w:leftFromText="180" w:rightFromText="180" w:vertAnchor="text" w:horzAnchor="margin" w:tblpX="-20" w:tblpY="262"/>
        <w:tblW w:w="9360" w:type="dxa"/>
        <w:tblBorders>
          <w:top w:val="single" w:sz="12" w:space="0" w:color="auto"/>
          <w:left w:val="single" w:sz="12" w:space="0" w:color="auto"/>
          <w:bottom w:val="single" w:sz="12" w:space="0" w:color="auto"/>
          <w:right w:val="single" w:sz="12" w:space="0" w:color="auto"/>
          <w:insideH w:val="single" w:sz="4" w:space="0" w:color="4F81BD" w:themeColor="accent1"/>
        </w:tblBorders>
        <w:tblLook w:val="04A0" w:firstRow="1" w:lastRow="0" w:firstColumn="1" w:lastColumn="0" w:noHBand="0" w:noVBand="1"/>
      </w:tblPr>
      <w:tblGrid>
        <w:gridCol w:w="1902"/>
        <w:gridCol w:w="7458"/>
      </w:tblGrid>
      <w:tr w:rsidR="00884DF5" w:rsidRPr="00762BBD" w14:paraId="796AD7A3" w14:textId="77777777" w:rsidTr="009340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auto"/>
              <w:left w:val="single" w:sz="4" w:space="0" w:color="auto"/>
              <w:bottom w:val="single" w:sz="4" w:space="0" w:color="4F81BD" w:themeColor="accent1"/>
              <w:right w:val="single" w:sz="4" w:space="0" w:color="auto"/>
            </w:tcBorders>
            <w:shd w:val="clear" w:color="auto" w:fill="00548C"/>
          </w:tcPr>
          <w:p w14:paraId="375956FC" w14:textId="77777777" w:rsidR="00884DF5" w:rsidRPr="00762BBD" w:rsidRDefault="00884DF5" w:rsidP="00AE3D06">
            <w:pPr>
              <w:jc w:val="center"/>
            </w:pPr>
            <w:r>
              <w:lastRenderedPageBreak/>
              <w:t>Table 1: NYHA Classifications of Heart Failure</w:t>
            </w:r>
          </w:p>
        </w:tc>
      </w:tr>
      <w:tr w:rsidR="00884DF5" w:rsidRPr="00762BBD" w14:paraId="025A3266" w14:textId="77777777" w:rsidTr="009340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02" w:type="dxa"/>
            <w:tcBorders>
              <w:top w:val="single" w:sz="4" w:space="0" w:color="4F81BD" w:themeColor="accent1"/>
              <w:left w:val="single" w:sz="4" w:space="0" w:color="auto"/>
              <w:bottom w:val="single" w:sz="4" w:space="0" w:color="4F81BD" w:themeColor="accent1"/>
            </w:tcBorders>
            <w:shd w:val="clear" w:color="auto" w:fill="00548C"/>
          </w:tcPr>
          <w:p w14:paraId="12DF7D1B" w14:textId="77777777" w:rsidR="00884DF5" w:rsidRPr="00934067" w:rsidRDefault="00884DF5" w:rsidP="00AE3D06">
            <w:pPr>
              <w:jc w:val="center"/>
            </w:pPr>
            <w:r w:rsidRPr="00934067">
              <w:t>Classification</w:t>
            </w:r>
          </w:p>
        </w:tc>
        <w:tc>
          <w:tcPr>
            <w:tcW w:w="7458" w:type="dxa"/>
            <w:tcBorders>
              <w:top w:val="single" w:sz="4" w:space="0" w:color="4F81BD" w:themeColor="accent1"/>
              <w:left w:val="nil"/>
              <w:bottom w:val="single" w:sz="4" w:space="0" w:color="4F81BD" w:themeColor="accent1"/>
              <w:right w:val="single" w:sz="4" w:space="0" w:color="auto"/>
            </w:tcBorders>
            <w:shd w:val="clear" w:color="auto" w:fill="00548C"/>
          </w:tcPr>
          <w:p w14:paraId="22CF3613" w14:textId="77777777" w:rsidR="00884DF5" w:rsidRPr="00934067" w:rsidRDefault="00884DF5" w:rsidP="00AE3D06">
            <w:pPr>
              <w:jc w:val="center"/>
              <w:cnfStyle w:val="100000000000" w:firstRow="1" w:lastRow="0" w:firstColumn="0" w:lastColumn="0" w:oddVBand="0" w:evenVBand="0" w:oddHBand="0" w:evenHBand="0" w:firstRowFirstColumn="0" w:firstRowLastColumn="0" w:lastRowFirstColumn="0" w:lastRowLastColumn="0"/>
              <w:rPr>
                <w:b w:val="0"/>
              </w:rPr>
            </w:pPr>
            <w:r w:rsidRPr="00934067">
              <w:t>Characteristics</w:t>
            </w:r>
          </w:p>
        </w:tc>
      </w:tr>
      <w:tr w:rsidR="00884DF5" w:rsidRPr="00762BBD" w14:paraId="2DE47432" w14:textId="77777777" w:rsidTr="0093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Borders>
              <w:left w:val="single" w:sz="4" w:space="0" w:color="auto"/>
              <w:right w:val="single" w:sz="4" w:space="0" w:color="auto"/>
            </w:tcBorders>
          </w:tcPr>
          <w:p w14:paraId="594C2F12" w14:textId="77777777" w:rsidR="00884DF5" w:rsidRPr="00762BBD" w:rsidRDefault="00884DF5" w:rsidP="00AE3D06">
            <w:pPr>
              <w:jc w:val="center"/>
            </w:pPr>
            <w:r w:rsidRPr="00762BBD">
              <w:t>Class I</w:t>
            </w:r>
          </w:p>
        </w:tc>
        <w:tc>
          <w:tcPr>
            <w:tcW w:w="7458" w:type="dxa"/>
            <w:tcBorders>
              <w:left w:val="single" w:sz="4" w:space="0" w:color="auto"/>
              <w:right w:val="single" w:sz="4" w:space="0" w:color="auto"/>
            </w:tcBorders>
          </w:tcPr>
          <w:p w14:paraId="5AB6B256" w14:textId="776F2D21" w:rsidR="00884DF5" w:rsidRPr="00762BBD" w:rsidRDefault="00884DF5" w:rsidP="00AE3D06">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pPr>
            <w:r w:rsidRPr="00762BBD">
              <w:rPr>
                <w:color w:val="000000"/>
                <w:lang w:val="x-none"/>
              </w:rPr>
              <w:t>Patients with cardiac disease but without the</w:t>
            </w:r>
            <w:r w:rsidRPr="00762BBD">
              <w:rPr>
                <w:color w:val="000000"/>
              </w:rPr>
              <w:t xml:space="preserve"> </w:t>
            </w:r>
            <w:r w:rsidRPr="00762BBD">
              <w:rPr>
                <w:color w:val="000000"/>
                <w:lang w:val="x-none"/>
              </w:rPr>
              <w:t>resulting limitations in physical activity.</w:t>
            </w:r>
            <w:r w:rsidR="00C52774">
              <w:rPr>
                <w:color w:val="000000"/>
              </w:rPr>
              <w:t xml:space="preserve"> </w:t>
            </w:r>
            <w:r w:rsidRPr="00762BBD">
              <w:rPr>
                <w:color w:val="000000"/>
              </w:rPr>
              <w:t xml:space="preserve"> </w:t>
            </w:r>
            <w:r w:rsidRPr="00762BBD">
              <w:rPr>
                <w:color w:val="000000"/>
                <w:lang w:val="x-none"/>
              </w:rPr>
              <w:t>Ordinary activity does not cause undue</w:t>
            </w:r>
            <w:r w:rsidRPr="00762BBD">
              <w:rPr>
                <w:color w:val="000000"/>
              </w:rPr>
              <w:t xml:space="preserve"> </w:t>
            </w:r>
            <w:r w:rsidRPr="00762BBD">
              <w:rPr>
                <w:color w:val="000000"/>
                <w:lang w:val="x-none"/>
              </w:rPr>
              <w:t>fatigue, palpitation, dyspnea, or anginal pain</w:t>
            </w:r>
          </w:p>
        </w:tc>
      </w:tr>
      <w:tr w:rsidR="00884DF5" w:rsidRPr="00762BBD" w14:paraId="5FA57A7E" w14:textId="77777777" w:rsidTr="00934067">
        <w:tc>
          <w:tcPr>
            <w:cnfStyle w:val="001000000000" w:firstRow="0" w:lastRow="0" w:firstColumn="1" w:lastColumn="0" w:oddVBand="0" w:evenVBand="0" w:oddHBand="0" w:evenHBand="0" w:firstRowFirstColumn="0" w:firstRowLastColumn="0" w:lastRowFirstColumn="0" w:lastRowLastColumn="0"/>
            <w:tcW w:w="1902" w:type="dxa"/>
            <w:tcBorders>
              <w:left w:val="single" w:sz="4" w:space="0" w:color="auto"/>
              <w:right w:val="single" w:sz="4" w:space="0" w:color="auto"/>
            </w:tcBorders>
          </w:tcPr>
          <w:p w14:paraId="304A6BAC" w14:textId="77777777" w:rsidR="00884DF5" w:rsidRPr="00762BBD" w:rsidRDefault="00884DF5" w:rsidP="00AE3D06">
            <w:pPr>
              <w:jc w:val="center"/>
            </w:pPr>
            <w:r w:rsidRPr="00762BBD">
              <w:t>Class II</w:t>
            </w:r>
          </w:p>
        </w:tc>
        <w:tc>
          <w:tcPr>
            <w:tcW w:w="7458" w:type="dxa"/>
            <w:tcBorders>
              <w:left w:val="single" w:sz="4" w:space="0" w:color="auto"/>
              <w:right w:val="single" w:sz="4" w:space="0" w:color="auto"/>
            </w:tcBorders>
          </w:tcPr>
          <w:p w14:paraId="3211603B" w14:textId="213E4EA1" w:rsidR="00884DF5" w:rsidRPr="00762BBD" w:rsidRDefault="00884DF5" w:rsidP="00AE3D06">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pPr>
            <w:r w:rsidRPr="00762BBD">
              <w:rPr>
                <w:color w:val="000000"/>
                <w:lang w:val="x-none"/>
              </w:rPr>
              <w:t>Patients with heart disease resulting in slight</w:t>
            </w:r>
            <w:r w:rsidRPr="00762BBD">
              <w:rPr>
                <w:color w:val="000000"/>
              </w:rPr>
              <w:t xml:space="preserve"> </w:t>
            </w:r>
            <w:r w:rsidRPr="00762BBD">
              <w:rPr>
                <w:color w:val="000000"/>
                <w:lang w:val="x-none"/>
              </w:rPr>
              <w:t xml:space="preserve">limitations of physical activity. </w:t>
            </w:r>
            <w:r w:rsidR="00C52774">
              <w:rPr>
                <w:color w:val="000000"/>
              </w:rPr>
              <w:t xml:space="preserve"> </w:t>
            </w:r>
            <w:r w:rsidRPr="00762BBD">
              <w:rPr>
                <w:color w:val="000000"/>
                <w:lang w:val="x-none"/>
              </w:rPr>
              <w:t>They are</w:t>
            </w:r>
            <w:r w:rsidRPr="00762BBD">
              <w:rPr>
                <w:color w:val="000000"/>
              </w:rPr>
              <w:t xml:space="preserve"> </w:t>
            </w:r>
            <w:r w:rsidRPr="00762BBD">
              <w:rPr>
                <w:color w:val="000000"/>
                <w:lang w:val="x-none"/>
              </w:rPr>
              <w:t xml:space="preserve">comfortable at rest. </w:t>
            </w:r>
            <w:r w:rsidR="00C52774">
              <w:rPr>
                <w:color w:val="000000"/>
              </w:rPr>
              <w:t xml:space="preserve"> </w:t>
            </w:r>
            <w:r w:rsidRPr="00762BBD">
              <w:rPr>
                <w:color w:val="000000"/>
                <w:lang w:val="x-none"/>
              </w:rPr>
              <w:t>Ordinary physical activity</w:t>
            </w:r>
            <w:r w:rsidRPr="00762BBD">
              <w:rPr>
                <w:color w:val="000000"/>
              </w:rPr>
              <w:t xml:space="preserve"> </w:t>
            </w:r>
            <w:r w:rsidRPr="00762BBD">
              <w:rPr>
                <w:color w:val="000000"/>
                <w:lang w:val="x-none"/>
              </w:rPr>
              <w:t>results in fatigue, palpitation, dyspnea or</w:t>
            </w:r>
            <w:r w:rsidRPr="00762BBD">
              <w:rPr>
                <w:color w:val="000000"/>
              </w:rPr>
              <w:t xml:space="preserve"> </w:t>
            </w:r>
            <w:r w:rsidRPr="00762BBD">
              <w:rPr>
                <w:color w:val="000000"/>
                <w:lang w:val="x-none"/>
              </w:rPr>
              <w:t>anginal pain</w:t>
            </w:r>
          </w:p>
        </w:tc>
      </w:tr>
      <w:tr w:rsidR="00884DF5" w:rsidRPr="00762BBD" w14:paraId="27FA8454" w14:textId="77777777" w:rsidTr="0093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Borders>
              <w:left w:val="single" w:sz="4" w:space="0" w:color="auto"/>
              <w:right w:val="single" w:sz="4" w:space="0" w:color="auto"/>
            </w:tcBorders>
          </w:tcPr>
          <w:p w14:paraId="6A59236A" w14:textId="77777777" w:rsidR="00884DF5" w:rsidRPr="00762BBD" w:rsidRDefault="00884DF5" w:rsidP="00AE3D06">
            <w:pPr>
              <w:jc w:val="center"/>
            </w:pPr>
            <w:r w:rsidRPr="00762BBD">
              <w:t>Class III</w:t>
            </w:r>
          </w:p>
        </w:tc>
        <w:tc>
          <w:tcPr>
            <w:tcW w:w="7458" w:type="dxa"/>
            <w:tcBorders>
              <w:left w:val="single" w:sz="4" w:space="0" w:color="auto"/>
              <w:right w:val="single" w:sz="4" w:space="0" w:color="auto"/>
            </w:tcBorders>
          </w:tcPr>
          <w:p w14:paraId="78B08C12" w14:textId="3EB3FEE2" w:rsidR="00884DF5" w:rsidRPr="00762BBD" w:rsidRDefault="00884DF5" w:rsidP="00AE3D06">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pPr>
            <w:r w:rsidRPr="00762BBD">
              <w:rPr>
                <w:color w:val="000000"/>
                <w:lang w:val="x-none"/>
              </w:rPr>
              <w:t>Patients with cardiac disease resulting in</w:t>
            </w:r>
            <w:r w:rsidRPr="00762BBD">
              <w:rPr>
                <w:color w:val="000000"/>
              </w:rPr>
              <w:t xml:space="preserve"> </w:t>
            </w:r>
            <w:r w:rsidRPr="00762BBD">
              <w:rPr>
                <w:color w:val="000000"/>
                <w:lang w:val="x-none"/>
              </w:rPr>
              <w:t xml:space="preserve">marked limitation of physical activity. </w:t>
            </w:r>
            <w:r w:rsidR="00C52774">
              <w:rPr>
                <w:color w:val="000000"/>
              </w:rPr>
              <w:t xml:space="preserve"> </w:t>
            </w:r>
            <w:r w:rsidRPr="00762BBD">
              <w:rPr>
                <w:color w:val="000000"/>
                <w:lang w:val="x-none"/>
              </w:rPr>
              <w:t>They</w:t>
            </w:r>
            <w:r w:rsidRPr="00762BBD">
              <w:rPr>
                <w:color w:val="000000"/>
              </w:rPr>
              <w:t xml:space="preserve"> </w:t>
            </w:r>
            <w:r w:rsidRPr="00762BBD">
              <w:rPr>
                <w:color w:val="000000"/>
                <w:lang w:val="x-none"/>
              </w:rPr>
              <w:t xml:space="preserve">are comfortable at rest. </w:t>
            </w:r>
            <w:r w:rsidR="00C52774">
              <w:rPr>
                <w:color w:val="000000"/>
              </w:rPr>
              <w:t xml:space="preserve"> </w:t>
            </w:r>
            <w:r w:rsidRPr="00762BBD">
              <w:rPr>
                <w:color w:val="000000"/>
                <w:lang w:val="x-none"/>
              </w:rPr>
              <w:t>Less than ordinary</w:t>
            </w:r>
            <w:r w:rsidRPr="00762BBD">
              <w:rPr>
                <w:color w:val="000000"/>
              </w:rPr>
              <w:t xml:space="preserve"> </w:t>
            </w:r>
            <w:r w:rsidRPr="00762BBD">
              <w:rPr>
                <w:color w:val="000000"/>
                <w:lang w:val="x-none"/>
              </w:rPr>
              <w:t>physical activity causes fatigue, palpitation,</w:t>
            </w:r>
            <w:r w:rsidRPr="00762BBD">
              <w:rPr>
                <w:color w:val="000000"/>
              </w:rPr>
              <w:t xml:space="preserve"> </w:t>
            </w:r>
            <w:r w:rsidRPr="00762BBD">
              <w:rPr>
                <w:color w:val="000000"/>
                <w:lang w:val="x-none"/>
              </w:rPr>
              <w:t>dyspnea, or anginal pain.</w:t>
            </w:r>
          </w:p>
        </w:tc>
      </w:tr>
      <w:tr w:rsidR="00884DF5" w:rsidRPr="00762BBD" w14:paraId="21C0E921" w14:textId="77777777" w:rsidTr="00934067">
        <w:tc>
          <w:tcPr>
            <w:cnfStyle w:val="001000000000" w:firstRow="0" w:lastRow="0" w:firstColumn="1" w:lastColumn="0" w:oddVBand="0" w:evenVBand="0" w:oddHBand="0" w:evenHBand="0" w:firstRowFirstColumn="0" w:firstRowLastColumn="0" w:lastRowFirstColumn="0" w:lastRowLastColumn="0"/>
            <w:tcW w:w="1902" w:type="dxa"/>
            <w:tcBorders>
              <w:left w:val="single" w:sz="4" w:space="0" w:color="auto"/>
              <w:bottom w:val="single" w:sz="4" w:space="0" w:color="auto"/>
              <w:right w:val="single" w:sz="4" w:space="0" w:color="auto"/>
            </w:tcBorders>
          </w:tcPr>
          <w:p w14:paraId="50B352AC" w14:textId="77777777" w:rsidR="00884DF5" w:rsidRPr="00762BBD" w:rsidRDefault="00884DF5" w:rsidP="00AE3D06">
            <w:pPr>
              <w:jc w:val="center"/>
            </w:pPr>
            <w:r w:rsidRPr="00762BBD">
              <w:t>Class IV</w:t>
            </w:r>
          </w:p>
        </w:tc>
        <w:tc>
          <w:tcPr>
            <w:tcW w:w="7458" w:type="dxa"/>
            <w:tcBorders>
              <w:left w:val="single" w:sz="4" w:space="0" w:color="auto"/>
              <w:bottom w:val="single" w:sz="4" w:space="0" w:color="auto"/>
              <w:right w:val="single" w:sz="4" w:space="0" w:color="auto"/>
            </w:tcBorders>
          </w:tcPr>
          <w:p w14:paraId="0A776741" w14:textId="0309503F" w:rsidR="00884DF5" w:rsidRPr="00762BBD" w:rsidRDefault="00884DF5" w:rsidP="00AE3D06">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pPr>
            <w:r w:rsidRPr="00762BBD">
              <w:rPr>
                <w:color w:val="000000"/>
                <w:lang w:val="x-none"/>
              </w:rPr>
              <w:t>Patients with cardiac disease resulting in</w:t>
            </w:r>
            <w:r w:rsidRPr="00762BBD">
              <w:rPr>
                <w:color w:val="000000"/>
              </w:rPr>
              <w:t xml:space="preserve"> </w:t>
            </w:r>
            <w:r w:rsidRPr="00762BBD">
              <w:rPr>
                <w:color w:val="000000"/>
                <w:lang w:val="x-none"/>
              </w:rPr>
              <w:t>inability to carry on any physical activity</w:t>
            </w:r>
            <w:r w:rsidRPr="00762BBD">
              <w:rPr>
                <w:color w:val="000000"/>
              </w:rPr>
              <w:t xml:space="preserve"> </w:t>
            </w:r>
            <w:r w:rsidRPr="00762BBD">
              <w:rPr>
                <w:color w:val="000000"/>
                <w:lang w:val="x-none"/>
              </w:rPr>
              <w:t xml:space="preserve">without discomfort. </w:t>
            </w:r>
            <w:r w:rsidR="00C52774">
              <w:rPr>
                <w:color w:val="000000"/>
              </w:rPr>
              <w:t xml:space="preserve"> </w:t>
            </w:r>
            <w:r w:rsidRPr="00762BBD">
              <w:rPr>
                <w:color w:val="000000"/>
                <w:lang w:val="x-none"/>
              </w:rPr>
              <w:t>They symptoms of cardiac</w:t>
            </w:r>
            <w:r w:rsidRPr="00762BBD">
              <w:rPr>
                <w:color w:val="000000"/>
              </w:rPr>
              <w:t xml:space="preserve"> </w:t>
            </w:r>
            <w:r w:rsidRPr="00762BBD">
              <w:rPr>
                <w:color w:val="000000"/>
                <w:lang w:val="x-none"/>
              </w:rPr>
              <w:t>insufficiency or of the anginal syndrome may</w:t>
            </w:r>
            <w:r w:rsidRPr="00762BBD">
              <w:rPr>
                <w:color w:val="000000"/>
              </w:rPr>
              <w:t xml:space="preserve"> </w:t>
            </w:r>
            <w:r w:rsidRPr="00762BBD">
              <w:rPr>
                <w:color w:val="000000"/>
                <w:lang w:val="x-none"/>
              </w:rPr>
              <w:t>be present even at rest.</w:t>
            </w:r>
            <w:r w:rsidR="00C52774">
              <w:rPr>
                <w:color w:val="000000"/>
              </w:rPr>
              <w:t xml:space="preserve"> </w:t>
            </w:r>
            <w:r w:rsidRPr="00762BBD">
              <w:rPr>
                <w:color w:val="000000"/>
                <w:lang w:val="x-none"/>
              </w:rPr>
              <w:t xml:space="preserve"> If any physical</w:t>
            </w:r>
            <w:r w:rsidRPr="00762BBD">
              <w:rPr>
                <w:color w:val="000000"/>
              </w:rPr>
              <w:t xml:space="preserve"> </w:t>
            </w:r>
            <w:r w:rsidRPr="00762BBD">
              <w:rPr>
                <w:color w:val="000000"/>
                <w:lang w:val="x-none"/>
              </w:rPr>
              <w:t>activity is undertaken, discomfort increases.</w:t>
            </w:r>
          </w:p>
        </w:tc>
      </w:tr>
    </w:tbl>
    <w:p w14:paraId="00BC5987" w14:textId="77777777" w:rsidR="00884DF5" w:rsidRPr="00BC4E3C" w:rsidRDefault="00884DF5" w:rsidP="00884DF5"/>
    <w:tbl>
      <w:tblPr>
        <w:tblStyle w:val="ListTable3-Accent1"/>
        <w:tblpPr w:leftFromText="180" w:rightFromText="180" w:vertAnchor="text" w:horzAnchor="page" w:tblpX="1481" w:tblpY="-3"/>
        <w:tblW w:w="9360" w:type="dxa"/>
        <w:tblBorders>
          <w:top w:val="single" w:sz="12" w:space="0" w:color="auto"/>
          <w:left w:val="single" w:sz="12" w:space="0" w:color="auto"/>
          <w:bottom w:val="single" w:sz="12" w:space="0" w:color="auto"/>
          <w:right w:val="single" w:sz="12" w:space="0" w:color="auto"/>
          <w:insideH w:val="single" w:sz="4" w:space="0" w:color="4F81BD" w:themeColor="accent1"/>
        </w:tblBorders>
        <w:tblLook w:val="04A0" w:firstRow="1" w:lastRow="0" w:firstColumn="1" w:lastColumn="0" w:noHBand="0" w:noVBand="1"/>
      </w:tblPr>
      <w:tblGrid>
        <w:gridCol w:w="1615"/>
        <w:gridCol w:w="7745"/>
      </w:tblGrid>
      <w:tr w:rsidR="00463067" w:rsidRPr="00762BBD" w14:paraId="63B70354" w14:textId="77777777" w:rsidTr="00AA7B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auto"/>
              <w:left w:val="single" w:sz="4" w:space="0" w:color="auto"/>
              <w:right w:val="single" w:sz="4" w:space="0" w:color="auto"/>
            </w:tcBorders>
            <w:shd w:val="clear" w:color="auto" w:fill="00548C"/>
          </w:tcPr>
          <w:p w14:paraId="54C34EE8" w14:textId="77777777" w:rsidR="00463067" w:rsidRPr="005D14D4" w:rsidRDefault="00F9704E" w:rsidP="00AA7B88">
            <w:pPr>
              <w:jc w:val="center"/>
            </w:pPr>
            <w:r>
              <w:t>Table 2</w:t>
            </w:r>
            <w:r w:rsidR="00463067">
              <w:t>: Heart Failure Stages in Pediatric Heart Disease</w:t>
            </w:r>
          </w:p>
        </w:tc>
      </w:tr>
      <w:tr w:rsidR="00463067" w:rsidRPr="00762BBD" w14:paraId="669E1AB6" w14:textId="77777777" w:rsidTr="0093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tcBorders>
            <w:shd w:val="clear" w:color="auto" w:fill="00548C"/>
          </w:tcPr>
          <w:p w14:paraId="7F07AC24" w14:textId="77777777" w:rsidR="00463067" w:rsidRPr="00913535" w:rsidRDefault="00463067" w:rsidP="00AA7B88">
            <w:pPr>
              <w:jc w:val="center"/>
              <w:rPr>
                <w:color w:val="FFFFFF" w:themeColor="background1"/>
              </w:rPr>
            </w:pPr>
            <w:r w:rsidRPr="00913535">
              <w:rPr>
                <w:color w:val="FFFFFF" w:themeColor="background1"/>
              </w:rPr>
              <w:t>Classification</w:t>
            </w:r>
          </w:p>
        </w:tc>
        <w:tc>
          <w:tcPr>
            <w:tcW w:w="7745" w:type="dxa"/>
            <w:tcBorders>
              <w:right w:val="single" w:sz="4" w:space="0" w:color="auto"/>
            </w:tcBorders>
            <w:shd w:val="clear" w:color="auto" w:fill="00548C"/>
          </w:tcPr>
          <w:p w14:paraId="6463E03B" w14:textId="77777777" w:rsidR="00463067" w:rsidRPr="00913535" w:rsidRDefault="00463067" w:rsidP="00AA7B88">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13535">
              <w:rPr>
                <w:b/>
                <w:color w:val="FFFFFF" w:themeColor="background1"/>
              </w:rPr>
              <w:t>Characteristics</w:t>
            </w:r>
          </w:p>
        </w:tc>
      </w:tr>
      <w:tr w:rsidR="00463067" w:rsidRPr="00762BBD" w14:paraId="7903BB83" w14:textId="77777777" w:rsidTr="00934067">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4F81BD" w:themeColor="accent1"/>
              <w:left w:val="single" w:sz="4" w:space="0" w:color="auto"/>
              <w:bottom w:val="single" w:sz="4" w:space="0" w:color="auto"/>
              <w:right w:val="single" w:sz="4" w:space="0" w:color="auto"/>
            </w:tcBorders>
          </w:tcPr>
          <w:p w14:paraId="5A73ABCE" w14:textId="77777777" w:rsidR="00463067" w:rsidRPr="00762BBD" w:rsidRDefault="00463067" w:rsidP="00AA7B88">
            <w:pPr>
              <w:jc w:val="center"/>
            </w:pPr>
            <w:r>
              <w:t>A</w:t>
            </w:r>
          </w:p>
        </w:tc>
        <w:tc>
          <w:tcPr>
            <w:tcW w:w="7745" w:type="dxa"/>
            <w:tcBorders>
              <w:top w:val="single" w:sz="4" w:space="0" w:color="4F81BD" w:themeColor="accent1"/>
              <w:left w:val="single" w:sz="4" w:space="0" w:color="auto"/>
              <w:bottom w:val="single" w:sz="4" w:space="0" w:color="auto"/>
              <w:right w:val="single" w:sz="4" w:space="0" w:color="auto"/>
            </w:tcBorders>
          </w:tcPr>
          <w:p w14:paraId="2292E90F" w14:textId="77777777" w:rsidR="00463067" w:rsidRPr="00913535" w:rsidRDefault="00463067" w:rsidP="00AA7B88">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b/>
                <w:color w:val="FFFFFF" w:themeColor="background1"/>
              </w:rPr>
            </w:pPr>
            <w:r>
              <w:t>At high risk for developing heart failure</w:t>
            </w:r>
          </w:p>
        </w:tc>
      </w:tr>
      <w:tr w:rsidR="00463067" w:rsidRPr="00762BBD" w14:paraId="74E30B69" w14:textId="77777777" w:rsidTr="0093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14:paraId="1F3D9358" w14:textId="77777777" w:rsidR="00463067" w:rsidRPr="00762BBD" w:rsidRDefault="00463067" w:rsidP="00AA7B88">
            <w:pPr>
              <w:jc w:val="center"/>
            </w:pPr>
            <w:r>
              <w:t>B</w:t>
            </w:r>
          </w:p>
        </w:tc>
        <w:tc>
          <w:tcPr>
            <w:tcW w:w="7745" w:type="dxa"/>
            <w:tcBorders>
              <w:top w:val="single" w:sz="4" w:space="0" w:color="auto"/>
              <w:left w:val="single" w:sz="4" w:space="0" w:color="auto"/>
              <w:bottom w:val="single" w:sz="4" w:space="0" w:color="auto"/>
              <w:right w:val="single" w:sz="4" w:space="0" w:color="auto"/>
            </w:tcBorders>
          </w:tcPr>
          <w:p w14:paraId="184A4919" w14:textId="77777777" w:rsidR="00463067" w:rsidRPr="00762BBD" w:rsidRDefault="00463067" w:rsidP="00AA7B8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pPr>
            <w:r>
              <w:t>Abnormal cardiac structure and/or function; no symptoms of heart failure</w:t>
            </w:r>
          </w:p>
        </w:tc>
      </w:tr>
      <w:tr w:rsidR="00463067" w:rsidRPr="00762BBD" w14:paraId="18E2AF00" w14:textId="77777777" w:rsidTr="00934067">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14:paraId="4539B85A" w14:textId="77777777" w:rsidR="00463067" w:rsidRPr="00762BBD" w:rsidRDefault="00463067" w:rsidP="00AA7B88">
            <w:pPr>
              <w:jc w:val="center"/>
            </w:pPr>
            <w:r>
              <w:t>C</w:t>
            </w:r>
          </w:p>
        </w:tc>
        <w:tc>
          <w:tcPr>
            <w:tcW w:w="7745" w:type="dxa"/>
            <w:tcBorders>
              <w:top w:val="single" w:sz="4" w:space="0" w:color="auto"/>
              <w:left w:val="single" w:sz="4" w:space="0" w:color="auto"/>
              <w:bottom w:val="single" w:sz="4" w:space="0" w:color="auto"/>
              <w:right w:val="single" w:sz="4" w:space="0" w:color="auto"/>
            </w:tcBorders>
          </w:tcPr>
          <w:p w14:paraId="52621C40" w14:textId="77777777" w:rsidR="00463067" w:rsidRPr="00762BBD" w:rsidRDefault="00463067" w:rsidP="00AA7B88">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pPr>
            <w:r>
              <w:t>Abnormal cardiac structure and/or function; Past or present symptoms of heart failure</w:t>
            </w:r>
          </w:p>
        </w:tc>
      </w:tr>
      <w:tr w:rsidR="00463067" w:rsidRPr="00762BBD" w14:paraId="7F882582" w14:textId="77777777" w:rsidTr="0093406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14:paraId="4B604E1E" w14:textId="77777777" w:rsidR="00463067" w:rsidRPr="00762BBD" w:rsidRDefault="00463067" w:rsidP="00AA7B88">
            <w:pPr>
              <w:jc w:val="center"/>
            </w:pPr>
            <w:r>
              <w:t>D</w:t>
            </w:r>
          </w:p>
        </w:tc>
        <w:tc>
          <w:tcPr>
            <w:tcW w:w="7745" w:type="dxa"/>
            <w:tcBorders>
              <w:top w:val="single" w:sz="4" w:space="0" w:color="auto"/>
              <w:left w:val="single" w:sz="4" w:space="0" w:color="auto"/>
              <w:bottom w:val="single" w:sz="4" w:space="0" w:color="auto"/>
              <w:right w:val="single" w:sz="4" w:space="0" w:color="auto"/>
            </w:tcBorders>
          </w:tcPr>
          <w:p w14:paraId="48A1BACD" w14:textId="77777777" w:rsidR="00463067" w:rsidRPr="00762BBD" w:rsidRDefault="00463067" w:rsidP="00AA7B8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pPr>
            <w:r>
              <w:t>Abnormal  structure and/or function; continuous infusion of intravenous inotropes or prostaglandin E</w:t>
            </w:r>
            <w:r w:rsidRPr="00621E5C">
              <w:rPr>
                <w:vertAlign w:val="subscript"/>
              </w:rPr>
              <w:t>1</w:t>
            </w:r>
            <w:r>
              <w:t xml:space="preserve"> to maintain of a ductus arteriosus; mechanical ventilatory and/or mechanical circulatory support</w:t>
            </w:r>
          </w:p>
        </w:tc>
      </w:tr>
    </w:tbl>
    <w:p w14:paraId="2513E0AB" w14:textId="77777777" w:rsidR="00791A99" w:rsidRDefault="00791A99" w:rsidP="00791A99">
      <w:r w:rsidRPr="00E60E8E">
        <w:rPr>
          <w:u w:val="single"/>
        </w:rPr>
        <w:t>*Note</w:t>
      </w:r>
      <w:r>
        <w:t>:  Heart lung transplantations may be considered medically necessary for other congenital cardiopulmonary anomalies as determined upon individual case review</w:t>
      </w:r>
      <w:r w:rsidR="00B303A2">
        <w:t>.</w:t>
      </w:r>
    </w:p>
    <w:p w14:paraId="069EBE17" w14:textId="77777777" w:rsidR="004371B0" w:rsidRPr="00AE3D06" w:rsidRDefault="004371B0" w:rsidP="00AE3D06"/>
    <w:p w14:paraId="12EF3427" w14:textId="77777777" w:rsidR="00FB0592" w:rsidRDefault="00FB0592" w:rsidP="00FB0592">
      <w:pPr>
        <w:pStyle w:val="Heading2"/>
        <w:rPr>
          <w:u w:val="none"/>
        </w:rPr>
      </w:pPr>
      <w:r w:rsidRPr="00B777AF">
        <w:rPr>
          <w:u w:val="none"/>
        </w:rPr>
        <w:t>Background</w:t>
      </w:r>
    </w:p>
    <w:p w14:paraId="7DB06DB1" w14:textId="5BFAB2E4" w:rsidR="00D52F1A" w:rsidRPr="00AE3D06" w:rsidRDefault="00D52F1A" w:rsidP="00AE3D06">
      <w:pPr>
        <w:autoSpaceDE w:val="0"/>
        <w:autoSpaceDN w:val="0"/>
        <w:adjustRightInd w:val="0"/>
        <w:snapToGrid w:val="0"/>
        <w:rPr>
          <w:color w:val="000000" w:themeColor="text1"/>
        </w:rPr>
      </w:pPr>
      <w:r w:rsidRPr="004D79CB">
        <w:rPr>
          <w:bCs/>
        </w:rPr>
        <w:t>Heart</w:t>
      </w:r>
      <w:r w:rsidR="000B78FA">
        <w:rPr>
          <w:bCs/>
        </w:rPr>
        <w:t>-</w:t>
      </w:r>
      <w:r w:rsidRPr="004D79CB">
        <w:rPr>
          <w:bCs/>
        </w:rPr>
        <w:t>lung transplantation is a strong surgical option for selected</w:t>
      </w:r>
      <w:r w:rsidR="0015533A">
        <w:rPr>
          <w:bCs/>
        </w:rPr>
        <w:t xml:space="preserve"> patients with simultaneous end-stage heart failure and end-</w:t>
      </w:r>
      <w:r w:rsidRPr="004D79CB">
        <w:rPr>
          <w:bCs/>
        </w:rPr>
        <w:t>stage lung disease.</w:t>
      </w:r>
      <w:r w:rsidR="00D90B43">
        <w:rPr>
          <w:bCs/>
        </w:rPr>
        <w:t xml:space="preserve">  However, d</w:t>
      </w:r>
      <w:r w:rsidR="00D90B43" w:rsidRPr="004D79CB">
        <w:rPr>
          <w:color w:val="000000"/>
          <w:lang w:val="x-none"/>
        </w:rPr>
        <w:t>ue to a shortage of suitable donors, it is a rare procedure</w:t>
      </w:r>
      <w:r w:rsidR="00D90B43">
        <w:rPr>
          <w:color w:val="000000"/>
        </w:rPr>
        <w:t>. O</w:t>
      </w:r>
      <w:r w:rsidR="00D90B43" w:rsidRPr="004D79CB">
        <w:rPr>
          <w:color w:val="000000"/>
          <w:lang w:val="x-none"/>
        </w:rPr>
        <w:t>nly</w:t>
      </w:r>
      <w:r w:rsidR="00D90B43" w:rsidRPr="004D79CB">
        <w:rPr>
          <w:color w:val="000000"/>
        </w:rPr>
        <w:t xml:space="preserve"> </w:t>
      </w:r>
      <w:r w:rsidR="0015533A">
        <w:rPr>
          <w:color w:val="000000"/>
          <w:lang w:val="x-none"/>
        </w:rPr>
        <w:t>about one</w:t>
      </w:r>
      <w:r w:rsidR="00D90B43" w:rsidRPr="004D79CB">
        <w:rPr>
          <w:color w:val="000000"/>
          <w:lang w:val="x-none"/>
        </w:rPr>
        <w:t xml:space="preserve"> hundred such transplants are performed each year in the USA.</w:t>
      </w:r>
      <w:r w:rsidR="00C52774">
        <w:rPr>
          <w:color w:val="000000"/>
        </w:rPr>
        <w:t xml:space="preserve"> </w:t>
      </w:r>
      <w:r w:rsidR="0015533A">
        <w:rPr>
          <w:bCs/>
        </w:rPr>
        <w:t xml:space="preserve"> </w:t>
      </w:r>
      <w:r w:rsidRPr="00A91BFC">
        <w:rPr>
          <w:bCs/>
        </w:rPr>
        <w:t>The 2016 International Society for Heart Lung Transplantation provides listing criteria and best practice recommendations for heart</w:t>
      </w:r>
      <w:r w:rsidR="00D90B43" w:rsidRPr="00A91BFC">
        <w:rPr>
          <w:bCs/>
        </w:rPr>
        <w:t>-</w:t>
      </w:r>
      <w:r w:rsidRPr="00A91BFC">
        <w:rPr>
          <w:bCs/>
        </w:rPr>
        <w:t>lung transplants</w:t>
      </w:r>
      <w:r w:rsidRPr="004D79CB">
        <w:rPr>
          <w:bCs/>
        </w:rPr>
        <w:t>.</w:t>
      </w:r>
      <w:r w:rsidRPr="004D79CB">
        <w:rPr>
          <w:bCs/>
          <w:vertAlign w:val="superscript"/>
        </w:rPr>
        <w:t xml:space="preserve">1 </w:t>
      </w:r>
    </w:p>
    <w:p w14:paraId="746D21F9" w14:textId="77777777" w:rsidR="00D52F1A" w:rsidRPr="004D79CB" w:rsidRDefault="00D52F1A" w:rsidP="00D52F1A">
      <w:pPr>
        <w:rPr>
          <w:bCs/>
          <w:vertAlign w:val="superscript"/>
        </w:rPr>
      </w:pPr>
    </w:p>
    <w:p w14:paraId="19BD4545" w14:textId="78881726" w:rsidR="00D52F1A" w:rsidRPr="004D79CB" w:rsidRDefault="000B78FA" w:rsidP="00D52F1A">
      <w:pPr>
        <w:rPr>
          <w:color w:val="000000"/>
        </w:rPr>
      </w:pPr>
      <w:r>
        <w:rPr>
          <w:bCs/>
        </w:rPr>
        <w:t>The</w:t>
      </w:r>
      <w:r w:rsidR="00D52F1A" w:rsidRPr="004D79CB">
        <w:rPr>
          <w:bCs/>
        </w:rPr>
        <w:t xml:space="preserve"> one and f</w:t>
      </w:r>
      <w:r w:rsidR="00D52F1A" w:rsidRPr="004D79CB">
        <w:rPr>
          <w:color w:val="000000"/>
        </w:rPr>
        <w:t xml:space="preserve">ive-year </w:t>
      </w:r>
      <w:r>
        <w:rPr>
          <w:color w:val="000000"/>
        </w:rPr>
        <w:t xml:space="preserve">survival </w:t>
      </w:r>
      <w:r w:rsidR="00D52F1A" w:rsidRPr="004D79CB">
        <w:rPr>
          <w:color w:val="000000"/>
        </w:rPr>
        <w:t xml:space="preserve">rates </w:t>
      </w:r>
      <w:r>
        <w:rPr>
          <w:color w:val="000000"/>
        </w:rPr>
        <w:t>are reported, respectively, at</w:t>
      </w:r>
      <w:r w:rsidR="00D52F1A" w:rsidRPr="004D79CB">
        <w:rPr>
          <w:color w:val="000000"/>
        </w:rPr>
        <w:t xml:space="preserve"> 59.1% and 88.2% for patients with hypertension, 26.8% and 70.4% for patients with hyperlipidemia, and 18% and 28.9% for patients with diabetes.</w:t>
      </w:r>
      <w:r w:rsidR="00D52F1A" w:rsidRPr="004D79CB">
        <w:rPr>
          <w:color w:val="000000"/>
          <w:vertAlign w:val="superscript"/>
        </w:rPr>
        <w:t>2</w:t>
      </w:r>
      <w:r w:rsidR="00D52F1A" w:rsidRPr="004D79CB">
        <w:rPr>
          <w:color w:val="000000"/>
        </w:rPr>
        <w:t xml:space="preserve"> </w:t>
      </w:r>
    </w:p>
    <w:p w14:paraId="0D172CA1" w14:textId="77777777" w:rsidR="00D52F1A" w:rsidRPr="004D79CB" w:rsidRDefault="00D52F1A" w:rsidP="00D52F1A">
      <w:pPr>
        <w:rPr>
          <w:b/>
          <w:bCs/>
        </w:rPr>
      </w:pPr>
    </w:p>
    <w:p w14:paraId="4D17D7AE" w14:textId="137338BD" w:rsidR="00583648" w:rsidRDefault="001724ED" w:rsidP="00A14EDB">
      <w:pPr>
        <w:autoSpaceDE w:val="0"/>
        <w:autoSpaceDN w:val="0"/>
        <w:adjustRightInd w:val="0"/>
        <w:snapToGrid w:val="0"/>
        <w:rPr>
          <w:color w:val="000000" w:themeColor="text1"/>
          <w:vertAlign w:val="superscript"/>
        </w:rPr>
      </w:pPr>
      <w:r w:rsidRPr="00A14EDB">
        <w:rPr>
          <w:color w:val="222222"/>
        </w:rPr>
        <w:t>Spahr et al discusses the pediatric indications and outcomes for heart-lung transplantations and reports that</w:t>
      </w:r>
      <w:r w:rsidR="00A14EDB" w:rsidRPr="00A14EDB">
        <w:rPr>
          <w:color w:val="222222"/>
        </w:rPr>
        <w:t xml:space="preserve"> p</w:t>
      </w:r>
      <w:r w:rsidR="00A14EDB" w:rsidRPr="00A14EDB">
        <w:t>rimary pulmonary hypertension</w:t>
      </w:r>
      <w:r w:rsidR="00A14EDB" w:rsidRPr="00A14EDB">
        <w:rPr>
          <w:color w:val="000000"/>
          <w:lang w:val="x-none"/>
        </w:rPr>
        <w:t>, congenital heart disease, and</w:t>
      </w:r>
      <w:r w:rsidR="00A14EDB" w:rsidRPr="00A14EDB">
        <w:rPr>
          <w:color w:val="000000"/>
        </w:rPr>
        <w:t xml:space="preserve"> </w:t>
      </w:r>
      <w:r w:rsidR="00A14EDB" w:rsidRPr="00A14EDB">
        <w:rPr>
          <w:color w:val="000000"/>
          <w:lang w:val="x-none"/>
        </w:rPr>
        <w:t>Eisenmenger’s syndrome</w:t>
      </w:r>
      <w:r w:rsidR="00A14EDB" w:rsidRPr="00A14EDB">
        <w:rPr>
          <w:color w:val="000000"/>
        </w:rPr>
        <w:t xml:space="preserve">, with a penetrance at 29%, 20% and </w:t>
      </w:r>
      <w:r w:rsidR="00A14EDB" w:rsidRPr="00A14EDB">
        <w:rPr>
          <w:color w:val="000000"/>
          <w:lang w:val="x-none"/>
        </w:rPr>
        <w:t>16%, respectively</w:t>
      </w:r>
      <w:r w:rsidR="00A14EDB" w:rsidRPr="00A14EDB">
        <w:rPr>
          <w:color w:val="000000"/>
        </w:rPr>
        <w:t>,</w:t>
      </w:r>
      <w:r w:rsidR="00A14EDB" w:rsidRPr="00A14EDB">
        <w:rPr>
          <w:color w:val="000000"/>
          <w:lang w:val="x-none"/>
        </w:rPr>
        <w:t xml:space="preserve"> are most common indications for heart lung transplants in </w:t>
      </w:r>
      <w:r w:rsidR="00A14EDB">
        <w:rPr>
          <w:color w:val="000000"/>
          <w:lang w:val="x-none"/>
        </w:rPr>
        <w:t>children</w:t>
      </w:r>
      <w:r w:rsidR="00A14EDB" w:rsidRPr="00A14EDB">
        <w:rPr>
          <w:color w:val="000000"/>
          <w:lang w:val="x-none"/>
        </w:rPr>
        <w:t>.</w:t>
      </w:r>
      <w:r w:rsidRPr="00A14EDB">
        <w:rPr>
          <w:color w:val="222222"/>
          <w:vertAlign w:val="superscript"/>
        </w:rPr>
        <w:t>5</w:t>
      </w:r>
      <w:r w:rsidR="00C52774">
        <w:rPr>
          <w:color w:val="222222"/>
          <w:vertAlign w:val="superscript"/>
        </w:rPr>
        <w:t xml:space="preserve"> </w:t>
      </w:r>
      <w:r w:rsidR="00A14EDB" w:rsidRPr="00A14EDB">
        <w:rPr>
          <w:color w:val="222222"/>
          <w:vertAlign w:val="superscript"/>
        </w:rPr>
        <w:t xml:space="preserve"> </w:t>
      </w:r>
      <w:r w:rsidR="00A14EDB" w:rsidRPr="00A14EDB">
        <w:rPr>
          <w:color w:val="222222"/>
        </w:rPr>
        <w:t>Since 1988, 188 pediatric heart lung t</w:t>
      </w:r>
      <w:r w:rsidR="0015533A">
        <w:rPr>
          <w:color w:val="222222"/>
        </w:rPr>
        <w:t xml:space="preserve">ransplants have been reported. </w:t>
      </w:r>
      <w:r w:rsidR="00A14EDB" w:rsidRPr="00A14EDB">
        <w:rPr>
          <w:color w:val="222222"/>
        </w:rPr>
        <w:t>Of these procedures, 16 have been performed</w:t>
      </w:r>
      <w:r w:rsidR="00D90B43">
        <w:rPr>
          <w:color w:val="222222"/>
        </w:rPr>
        <w:t xml:space="preserve"> at</w:t>
      </w:r>
      <w:r w:rsidR="00A14EDB" w:rsidRPr="00A14EDB">
        <w:rPr>
          <w:color w:val="222222"/>
        </w:rPr>
        <w:t xml:space="preserve"> &lt;</w:t>
      </w:r>
      <w:r w:rsidR="00D90B43">
        <w:rPr>
          <w:color w:val="222222"/>
        </w:rPr>
        <w:t xml:space="preserve"> </w:t>
      </w:r>
      <w:r w:rsidR="00A14EDB" w:rsidRPr="00A14EDB">
        <w:rPr>
          <w:color w:val="222222"/>
        </w:rPr>
        <w:t>1 year of age, 52 procedures for patients 1-5 years of age, 28 procedures for patients 6-10 years of age, 92 procedures for patients 11-17 years of age.</w:t>
      </w:r>
      <w:r w:rsidR="00A14EDB" w:rsidRPr="00A14EDB">
        <w:rPr>
          <w:color w:val="222222"/>
          <w:vertAlign w:val="superscript"/>
        </w:rPr>
        <w:t xml:space="preserve">5 </w:t>
      </w:r>
      <w:r w:rsidR="00C52774">
        <w:rPr>
          <w:color w:val="222222"/>
          <w:vertAlign w:val="superscript"/>
        </w:rPr>
        <w:t xml:space="preserve"> </w:t>
      </w:r>
      <w:r w:rsidR="00A14EDB" w:rsidRPr="00A14EDB">
        <w:rPr>
          <w:color w:val="222222"/>
        </w:rPr>
        <w:t xml:space="preserve">Of note, outcomes </w:t>
      </w:r>
      <w:r w:rsidR="00A14EDB" w:rsidRPr="00A14EDB">
        <w:rPr>
          <w:color w:val="000000" w:themeColor="text1"/>
        </w:rPr>
        <w:t>for heart lung transplants are largely dependent on the success on the lung graft.</w:t>
      </w:r>
      <w:r w:rsidR="00A14EDB" w:rsidRPr="00A14EDB">
        <w:rPr>
          <w:color w:val="000000" w:themeColor="text1"/>
          <w:vertAlign w:val="superscript"/>
        </w:rPr>
        <w:t>5</w:t>
      </w:r>
    </w:p>
    <w:p w14:paraId="26BA1B15" w14:textId="77777777" w:rsidR="009D5928" w:rsidRPr="00A14EDB" w:rsidRDefault="009D5928">
      <w:pPr>
        <w:rPr>
          <w:b/>
          <w:bCs/>
        </w:rPr>
      </w:pPr>
    </w:p>
    <w:p w14:paraId="4CADCB8C" w14:textId="77777777" w:rsidR="00170B14" w:rsidRPr="00A14EDB" w:rsidRDefault="00170B14" w:rsidP="00170B14">
      <w:pPr>
        <w:rPr>
          <w:b/>
        </w:rPr>
      </w:pPr>
      <w:bookmarkStart w:id="0" w:name="Coding_Implications"/>
      <w:r w:rsidRPr="00A14EDB">
        <w:rPr>
          <w:b/>
        </w:rPr>
        <w:t>Coding Implications</w:t>
      </w:r>
    </w:p>
    <w:bookmarkEnd w:id="0"/>
    <w:p w14:paraId="4266884F" w14:textId="7B1BE2DA"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xml:space="preserve">). </w:t>
      </w:r>
      <w:r w:rsidR="00C52774">
        <w:t xml:space="preserve"> </w:t>
      </w:r>
      <w:r w:rsidRPr="00507DC0">
        <w:t>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C52774" w:rsidRPr="00507DC0">
        <w:t>201</w:t>
      </w:r>
      <w:r w:rsidR="00C52774">
        <w:t>9</w:t>
      </w:r>
      <w:r w:rsidRPr="00507DC0">
        <w:t xml:space="preserve">, American Medical Association. </w:t>
      </w:r>
      <w:r w:rsidR="00C52774">
        <w:t xml:space="preserve"> </w:t>
      </w:r>
      <w:r w:rsidRPr="00507DC0">
        <w:t xml:space="preserve">All rights reserved. </w:t>
      </w:r>
      <w:r w:rsidR="00C52774">
        <w:t xml:space="preserve"> </w:t>
      </w:r>
      <w:r w:rsidRPr="00507DC0">
        <w:t>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2881F5B" w14:textId="77777777" w:rsidR="00AF5490" w:rsidRPr="00A85489" w:rsidRDefault="00AF5490" w:rsidP="00AF5490"/>
    <w:tbl>
      <w:tblPr>
        <w:tblStyle w:val="TableGrid"/>
        <w:tblW w:w="5000" w:type="pct"/>
        <w:tblLook w:val="0020" w:firstRow="1" w:lastRow="0" w:firstColumn="0" w:lastColumn="0" w:noHBand="0" w:noVBand="0"/>
      </w:tblPr>
      <w:tblGrid>
        <w:gridCol w:w="1107"/>
        <w:gridCol w:w="8243"/>
      </w:tblGrid>
      <w:tr w:rsidR="00D52F1A" w:rsidRPr="00DA683D" w14:paraId="43E2E8B1" w14:textId="77777777" w:rsidTr="00075E3B">
        <w:trPr>
          <w:tblHeader/>
        </w:trPr>
        <w:tc>
          <w:tcPr>
            <w:tcW w:w="1107" w:type="dxa"/>
            <w:shd w:val="clear" w:color="auto" w:fill="00548C"/>
          </w:tcPr>
          <w:p w14:paraId="6B27CC09" w14:textId="77777777" w:rsidR="00D52F1A" w:rsidRPr="00DA683D" w:rsidRDefault="00D52F1A" w:rsidP="00D66FD7">
            <w:pPr>
              <w:rPr>
                <w:b/>
                <w:bCs/>
                <w:color w:val="FFFFFF" w:themeColor="background1"/>
              </w:rPr>
            </w:pPr>
            <w:r w:rsidRPr="00DA683D">
              <w:rPr>
                <w:b/>
                <w:color w:val="FFFFFF" w:themeColor="background1"/>
              </w:rPr>
              <w:t>CPT</w:t>
            </w:r>
            <w:r w:rsidRPr="00DA683D">
              <w:rPr>
                <w:b/>
                <w:color w:val="FFFFFF" w:themeColor="background1"/>
                <w:vertAlign w:val="superscript"/>
              </w:rPr>
              <w:t>®</w:t>
            </w:r>
            <w:r w:rsidRPr="00DA683D">
              <w:rPr>
                <w:b/>
                <w:color w:val="FFFFFF" w:themeColor="background1"/>
              </w:rPr>
              <w:t xml:space="preserve"> Codes </w:t>
            </w:r>
          </w:p>
        </w:tc>
        <w:tc>
          <w:tcPr>
            <w:tcW w:w="8248" w:type="dxa"/>
            <w:shd w:val="clear" w:color="auto" w:fill="00548C"/>
          </w:tcPr>
          <w:p w14:paraId="70CB5759" w14:textId="77777777" w:rsidR="00D52F1A" w:rsidRPr="00DA683D" w:rsidRDefault="00D52F1A" w:rsidP="00D66FD7">
            <w:pPr>
              <w:rPr>
                <w:b/>
                <w:bCs/>
                <w:color w:val="FFFFFF" w:themeColor="background1"/>
              </w:rPr>
            </w:pPr>
            <w:r w:rsidRPr="00DA683D">
              <w:rPr>
                <w:b/>
                <w:color w:val="FFFFFF" w:themeColor="background1"/>
              </w:rPr>
              <w:t>Description</w:t>
            </w:r>
          </w:p>
        </w:tc>
      </w:tr>
      <w:tr w:rsidR="00D52F1A" w:rsidRPr="00DA683D" w14:paraId="5F536D3D" w14:textId="77777777" w:rsidTr="00075E3B">
        <w:tc>
          <w:tcPr>
            <w:tcW w:w="1107" w:type="dxa"/>
          </w:tcPr>
          <w:p w14:paraId="7305B5C6" w14:textId="77777777" w:rsidR="00D52F1A" w:rsidRPr="00DA683D" w:rsidRDefault="00D52F1A" w:rsidP="00D66FD7">
            <w:pPr>
              <w:rPr>
                <w:bCs/>
              </w:rPr>
            </w:pPr>
            <w:r w:rsidRPr="00DA683D">
              <w:rPr>
                <w:color w:val="000000"/>
                <w:lang w:val="x-none"/>
              </w:rPr>
              <w:t>33930</w:t>
            </w:r>
          </w:p>
        </w:tc>
        <w:tc>
          <w:tcPr>
            <w:tcW w:w="8248" w:type="dxa"/>
          </w:tcPr>
          <w:p w14:paraId="3D1B6737" w14:textId="165FC2E2" w:rsidR="00D52F1A" w:rsidRPr="00DA683D" w:rsidRDefault="00D52F1A" w:rsidP="00D94A8E">
            <w:pPr>
              <w:autoSpaceDE w:val="0"/>
              <w:autoSpaceDN w:val="0"/>
              <w:adjustRightInd w:val="0"/>
              <w:snapToGrid w:val="0"/>
              <w:rPr>
                <w:bCs/>
              </w:rPr>
            </w:pPr>
            <w:r w:rsidRPr="00DA683D">
              <w:rPr>
                <w:color w:val="000000"/>
                <w:lang w:val="x-none"/>
              </w:rPr>
              <w:t xml:space="preserve">Donor cardiectomy-pneumonectomy, </w:t>
            </w:r>
            <w:r w:rsidR="00D94A8E">
              <w:rPr>
                <w:color w:val="000000"/>
              </w:rPr>
              <w:t>including cold preservation)</w:t>
            </w:r>
          </w:p>
        </w:tc>
      </w:tr>
      <w:tr w:rsidR="00D52F1A" w:rsidRPr="00DA683D" w14:paraId="663E9F4E" w14:textId="77777777" w:rsidTr="00075E3B">
        <w:tc>
          <w:tcPr>
            <w:tcW w:w="1107" w:type="dxa"/>
          </w:tcPr>
          <w:p w14:paraId="1E92A936" w14:textId="77777777" w:rsidR="00D52F1A" w:rsidRPr="00DA683D" w:rsidRDefault="00D52F1A" w:rsidP="00D66FD7">
            <w:pPr>
              <w:rPr>
                <w:bCs/>
              </w:rPr>
            </w:pPr>
            <w:r w:rsidRPr="00DA683D">
              <w:rPr>
                <w:color w:val="000000"/>
                <w:lang w:val="x-none"/>
              </w:rPr>
              <w:t>33933</w:t>
            </w:r>
          </w:p>
        </w:tc>
        <w:tc>
          <w:tcPr>
            <w:tcW w:w="8248" w:type="dxa"/>
          </w:tcPr>
          <w:p w14:paraId="7B722D3E" w14:textId="77777777" w:rsidR="00D52F1A" w:rsidRPr="00DA683D" w:rsidRDefault="00D52F1A" w:rsidP="00D66FD7">
            <w:pPr>
              <w:autoSpaceDE w:val="0"/>
              <w:autoSpaceDN w:val="0"/>
              <w:adjustRightInd w:val="0"/>
              <w:snapToGrid w:val="0"/>
              <w:rPr>
                <w:color w:val="000000"/>
                <w:lang w:val="x-none"/>
              </w:rPr>
            </w:pPr>
            <w:r w:rsidRPr="00DA683D">
              <w:rPr>
                <w:color w:val="000000"/>
                <w:lang w:val="x-none"/>
              </w:rPr>
              <w:t>Backbench standard preparation of cadaver donor heart/lung allograft prior</w:t>
            </w:r>
            <w:r>
              <w:rPr>
                <w:color w:val="000000"/>
              </w:rPr>
              <w:t xml:space="preserve"> </w:t>
            </w:r>
            <w:r w:rsidRPr="00DA683D">
              <w:rPr>
                <w:color w:val="000000"/>
                <w:lang w:val="x-none"/>
              </w:rPr>
              <w:t>to transplantation, including dissection of allograft from surrounding soft</w:t>
            </w:r>
            <w:r>
              <w:rPr>
                <w:color w:val="000000"/>
              </w:rPr>
              <w:t xml:space="preserve"> </w:t>
            </w:r>
            <w:r w:rsidRPr="00DA683D">
              <w:rPr>
                <w:color w:val="000000"/>
                <w:lang w:val="x-none"/>
              </w:rPr>
              <w:t>tissues to prepare aorta, superior vena cava, inferior vena cava, and</w:t>
            </w:r>
            <w:r>
              <w:rPr>
                <w:color w:val="000000"/>
              </w:rPr>
              <w:t xml:space="preserve"> </w:t>
            </w:r>
            <w:r w:rsidRPr="00DA683D">
              <w:rPr>
                <w:color w:val="000000"/>
                <w:lang w:val="x-none"/>
              </w:rPr>
              <w:t>trachea for implantation</w:t>
            </w:r>
          </w:p>
        </w:tc>
      </w:tr>
      <w:tr w:rsidR="00D52F1A" w:rsidRPr="00DA683D" w14:paraId="2D074245" w14:textId="77777777" w:rsidTr="00075E3B">
        <w:tc>
          <w:tcPr>
            <w:tcW w:w="1107" w:type="dxa"/>
          </w:tcPr>
          <w:p w14:paraId="0B724FE0" w14:textId="77777777" w:rsidR="00D52F1A" w:rsidRPr="00DA683D" w:rsidRDefault="00D52F1A" w:rsidP="00D66FD7">
            <w:pPr>
              <w:rPr>
                <w:bCs/>
              </w:rPr>
            </w:pPr>
            <w:r w:rsidRPr="00DA683D">
              <w:rPr>
                <w:color w:val="000000"/>
                <w:lang w:val="x-none"/>
              </w:rPr>
              <w:t>33935</w:t>
            </w:r>
          </w:p>
        </w:tc>
        <w:tc>
          <w:tcPr>
            <w:tcW w:w="8248" w:type="dxa"/>
          </w:tcPr>
          <w:p w14:paraId="3B6F045D" w14:textId="77777777" w:rsidR="00D52F1A" w:rsidRPr="00DA683D" w:rsidRDefault="00D52F1A" w:rsidP="00D66FD7">
            <w:pPr>
              <w:autoSpaceDE w:val="0"/>
              <w:autoSpaceDN w:val="0"/>
              <w:adjustRightInd w:val="0"/>
              <w:snapToGrid w:val="0"/>
              <w:rPr>
                <w:color w:val="000000"/>
                <w:lang w:val="x-none"/>
              </w:rPr>
            </w:pPr>
            <w:r w:rsidRPr="00DA683D">
              <w:rPr>
                <w:color w:val="000000"/>
                <w:lang w:val="x-none"/>
              </w:rPr>
              <w:t>Heart-lung transplant with recipient cardiectomy-pneumonectomy</w:t>
            </w:r>
          </w:p>
        </w:tc>
      </w:tr>
    </w:tbl>
    <w:p w14:paraId="0A862CC8" w14:textId="77777777" w:rsidR="00D52F1A" w:rsidRPr="00DA683D" w:rsidRDefault="00D52F1A" w:rsidP="00D52F1A"/>
    <w:tbl>
      <w:tblPr>
        <w:tblStyle w:val="TableGrid"/>
        <w:tblW w:w="5000" w:type="pct"/>
        <w:tblLook w:val="0020" w:firstRow="1" w:lastRow="0" w:firstColumn="0" w:lastColumn="0" w:noHBand="0" w:noVBand="0"/>
      </w:tblPr>
      <w:tblGrid>
        <w:gridCol w:w="1126"/>
        <w:gridCol w:w="8224"/>
      </w:tblGrid>
      <w:tr w:rsidR="00D52F1A" w:rsidRPr="00DA683D" w14:paraId="6BFD2733" w14:textId="77777777" w:rsidTr="00075E3B">
        <w:trPr>
          <w:tblHeader/>
        </w:trPr>
        <w:tc>
          <w:tcPr>
            <w:tcW w:w="1126" w:type="dxa"/>
            <w:shd w:val="clear" w:color="auto" w:fill="00548C"/>
          </w:tcPr>
          <w:p w14:paraId="5870B4B8" w14:textId="77777777" w:rsidR="00D52F1A" w:rsidRPr="00DA683D" w:rsidRDefault="00D52F1A" w:rsidP="00D66FD7">
            <w:pPr>
              <w:rPr>
                <w:b/>
                <w:bCs/>
                <w:color w:val="FFFFFF" w:themeColor="background1"/>
              </w:rPr>
            </w:pPr>
            <w:r w:rsidRPr="00DA683D">
              <w:rPr>
                <w:b/>
                <w:color w:val="FFFFFF" w:themeColor="background1"/>
              </w:rPr>
              <w:t xml:space="preserve">HCPCS Codes </w:t>
            </w:r>
          </w:p>
        </w:tc>
        <w:tc>
          <w:tcPr>
            <w:tcW w:w="8229" w:type="dxa"/>
            <w:shd w:val="clear" w:color="auto" w:fill="00548C"/>
          </w:tcPr>
          <w:p w14:paraId="76D1DC4B" w14:textId="77777777" w:rsidR="00D52F1A" w:rsidRPr="00DA683D" w:rsidRDefault="00D52F1A" w:rsidP="00D66FD7">
            <w:pPr>
              <w:rPr>
                <w:b/>
                <w:bCs/>
                <w:color w:val="FFFFFF" w:themeColor="background1"/>
              </w:rPr>
            </w:pPr>
            <w:r w:rsidRPr="00DA683D">
              <w:rPr>
                <w:b/>
                <w:color w:val="FFFFFF" w:themeColor="background1"/>
              </w:rPr>
              <w:t>Description</w:t>
            </w:r>
          </w:p>
        </w:tc>
      </w:tr>
      <w:tr w:rsidR="00D52F1A" w:rsidRPr="00DA683D" w14:paraId="53A1C686" w14:textId="77777777" w:rsidTr="00075E3B">
        <w:tc>
          <w:tcPr>
            <w:tcW w:w="1126" w:type="dxa"/>
          </w:tcPr>
          <w:p w14:paraId="69D5B667" w14:textId="77777777" w:rsidR="00D52F1A" w:rsidRPr="00DA683D" w:rsidRDefault="00D52F1A" w:rsidP="00D66FD7">
            <w:pPr>
              <w:rPr>
                <w:bCs/>
              </w:rPr>
            </w:pPr>
            <w:r w:rsidRPr="00DA683D">
              <w:rPr>
                <w:color w:val="000000"/>
                <w:lang w:val="x-none"/>
              </w:rPr>
              <w:t>S2152</w:t>
            </w:r>
          </w:p>
        </w:tc>
        <w:tc>
          <w:tcPr>
            <w:tcW w:w="8229" w:type="dxa"/>
          </w:tcPr>
          <w:p w14:paraId="46C37664" w14:textId="77777777" w:rsidR="00D52F1A" w:rsidRPr="00A169D5" w:rsidRDefault="00D52F1A" w:rsidP="00D66FD7">
            <w:pPr>
              <w:autoSpaceDE w:val="0"/>
              <w:autoSpaceDN w:val="0"/>
              <w:adjustRightInd w:val="0"/>
              <w:snapToGrid w:val="0"/>
              <w:rPr>
                <w:bCs/>
              </w:rPr>
            </w:pPr>
            <w:r w:rsidRPr="00DA683D">
              <w:rPr>
                <w:color w:val="000000"/>
                <w:lang w:val="x-none"/>
              </w:rPr>
              <w:t>Solid organ(s), complete or segmental, single organ or combination of</w:t>
            </w:r>
            <w:r>
              <w:rPr>
                <w:color w:val="000000"/>
              </w:rPr>
              <w:t xml:space="preserve"> </w:t>
            </w:r>
            <w:r w:rsidRPr="00DA683D">
              <w:rPr>
                <w:color w:val="000000"/>
                <w:lang w:val="x-none"/>
              </w:rPr>
              <w:t>organs; deceased or living donor(s), procurement, transplantation, and</w:t>
            </w:r>
            <w:r>
              <w:rPr>
                <w:color w:val="000000"/>
              </w:rPr>
              <w:t xml:space="preserve"> </w:t>
            </w:r>
            <w:r w:rsidRPr="00DA683D">
              <w:rPr>
                <w:color w:val="000000"/>
                <w:lang w:val="x-none"/>
              </w:rPr>
              <w:t>related complications including: drugs; supplies; hospitalization with</w:t>
            </w:r>
            <w:r>
              <w:rPr>
                <w:color w:val="000000"/>
              </w:rPr>
              <w:t xml:space="preserve"> </w:t>
            </w:r>
            <w:r w:rsidRPr="00DA683D">
              <w:rPr>
                <w:color w:val="000000"/>
                <w:lang w:val="x-none"/>
              </w:rPr>
              <w:t>outpatient follow-up; medical/surgical, diagnostic, emergency, and</w:t>
            </w:r>
            <w:r>
              <w:rPr>
                <w:color w:val="000000"/>
              </w:rPr>
              <w:t xml:space="preserve"> </w:t>
            </w:r>
            <w:r w:rsidRPr="00DA683D">
              <w:rPr>
                <w:color w:val="000000"/>
                <w:lang w:val="x-none"/>
              </w:rPr>
              <w:t>rehabilitative services; and the number of days of pre- and post-transplant</w:t>
            </w:r>
            <w:r>
              <w:rPr>
                <w:color w:val="000000"/>
              </w:rPr>
              <w:t xml:space="preserve"> </w:t>
            </w:r>
            <w:r w:rsidRPr="00DA683D">
              <w:rPr>
                <w:color w:val="000000"/>
                <w:lang w:val="x-none"/>
              </w:rPr>
              <w:t>care in the global definition</w:t>
            </w:r>
            <w:r>
              <w:rPr>
                <w:color w:val="000000"/>
              </w:rPr>
              <w:t xml:space="preserve"> </w:t>
            </w:r>
          </w:p>
        </w:tc>
      </w:tr>
    </w:tbl>
    <w:p w14:paraId="0049E79D" w14:textId="77777777" w:rsidR="00D52F1A" w:rsidRDefault="00D52F1A" w:rsidP="00D52F1A"/>
    <w:p w14:paraId="2E4718D9" w14:textId="77777777" w:rsidR="00D52F1A" w:rsidRPr="00350F22" w:rsidRDefault="00D52F1A" w:rsidP="00D52F1A">
      <w:pPr>
        <w:rPr>
          <w:b/>
        </w:rPr>
      </w:pPr>
      <w:r w:rsidRPr="00350F22">
        <w:rPr>
          <w:b/>
        </w:rPr>
        <w:t>ICD-10-CM Diagnosis Codes that Support Coverage Criteria</w:t>
      </w:r>
    </w:p>
    <w:tbl>
      <w:tblPr>
        <w:tblStyle w:val="TableGrid"/>
        <w:tblW w:w="5000" w:type="pct"/>
        <w:tblLook w:val="0020" w:firstRow="1" w:lastRow="0" w:firstColumn="0" w:lastColumn="0" w:noHBand="0" w:noVBand="0"/>
      </w:tblPr>
      <w:tblGrid>
        <w:gridCol w:w="2155"/>
        <w:gridCol w:w="7195"/>
      </w:tblGrid>
      <w:tr w:rsidR="00D52F1A" w:rsidRPr="00B777AF" w14:paraId="369F4410" w14:textId="77777777" w:rsidTr="00075E3B">
        <w:trPr>
          <w:tblHeader/>
        </w:trPr>
        <w:tc>
          <w:tcPr>
            <w:tcW w:w="2155" w:type="dxa"/>
            <w:shd w:val="clear" w:color="auto" w:fill="00548C"/>
          </w:tcPr>
          <w:p w14:paraId="78911A1E" w14:textId="77777777" w:rsidR="00D52F1A" w:rsidRPr="00D3739D" w:rsidRDefault="00D52F1A" w:rsidP="00D66FD7">
            <w:pPr>
              <w:rPr>
                <w:b/>
                <w:bCs/>
                <w:color w:val="FFFFFF"/>
              </w:rPr>
            </w:pPr>
            <w:r w:rsidRPr="00D3739D">
              <w:rPr>
                <w:b/>
                <w:color w:val="FFFFFF"/>
              </w:rPr>
              <w:t>ICD-10-CM Code</w:t>
            </w:r>
          </w:p>
        </w:tc>
        <w:tc>
          <w:tcPr>
            <w:tcW w:w="7195" w:type="dxa"/>
            <w:shd w:val="clear" w:color="auto" w:fill="00548C"/>
          </w:tcPr>
          <w:p w14:paraId="71A3DE97" w14:textId="77777777" w:rsidR="00D52F1A" w:rsidRPr="00D3739D" w:rsidRDefault="00D52F1A" w:rsidP="00D66FD7">
            <w:pPr>
              <w:rPr>
                <w:b/>
                <w:bCs/>
                <w:color w:val="FFFFFF"/>
              </w:rPr>
            </w:pPr>
            <w:r w:rsidRPr="00D3739D">
              <w:rPr>
                <w:b/>
                <w:color w:val="FFFFFF"/>
              </w:rPr>
              <w:t>Description</w:t>
            </w:r>
          </w:p>
        </w:tc>
      </w:tr>
      <w:tr w:rsidR="00D52F1A" w:rsidRPr="005144C0" w14:paraId="068438AD" w14:textId="77777777" w:rsidTr="00075E3B">
        <w:trPr>
          <w:trHeight w:val="296"/>
        </w:trPr>
        <w:tc>
          <w:tcPr>
            <w:tcW w:w="2155" w:type="dxa"/>
          </w:tcPr>
          <w:p w14:paraId="1702E15F" w14:textId="77777777" w:rsidR="00D52F1A" w:rsidRPr="00D3739D" w:rsidRDefault="00D52F1A" w:rsidP="00D66FD7">
            <w:pPr>
              <w:autoSpaceDE w:val="0"/>
              <w:autoSpaceDN w:val="0"/>
              <w:adjustRightInd w:val="0"/>
              <w:snapToGrid w:val="0"/>
              <w:rPr>
                <w:bCs/>
              </w:rPr>
            </w:pPr>
            <w:r w:rsidRPr="00D3739D">
              <w:rPr>
                <w:color w:val="000000"/>
                <w:lang w:val="x-none"/>
              </w:rPr>
              <w:t>D86.0-D86.89</w:t>
            </w:r>
          </w:p>
        </w:tc>
        <w:tc>
          <w:tcPr>
            <w:tcW w:w="7195" w:type="dxa"/>
          </w:tcPr>
          <w:p w14:paraId="648CBEE5" w14:textId="77777777" w:rsidR="00D52F1A" w:rsidRPr="00D3739D" w:rsidRDefault="00D52F1A" w:rsidP="00D66FD7">
            <w:pPr>
              <w:rPr>
                <w:bCs/>
              </w:rPr>
            </w:pPr>
            <w:r w:rsidRPr="00D3739D">
              <w:rPr>
                <w:bCs/>
              </w:rPr>
              <w:t>Sarcoidosis</w:t>
            </w:r>
            <w:r>
              <w:rPr>
                <w:bCs/>
              </w:rPr>
              <w:t xml:space="preserve"> </w:t>
            </w:r>
          </w:p>
        </w:tc>
      </w:tr>
      <w:tr w:rsidR="00D52F1A" w:rsidRPr="005144C0" w14:paraId="57106570" w14:textId="77777777" w:rsidTr="00075E3B">
        <w:tc>
          <w:tcPr>
            <w:tcW w:w="2155" w:type="dxa"/>
          </w:tcPr>
          <w:p w14:paraId="197F0464"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E84.0-E84.9</w:t>
            </w:r>
          </w:p>
        </w:tc>
        <w:tc>
          <w:tcPr>
            <w:tcW w:w="7195" w:type="dxa"/>
          </w:tcPr>
          <w:p w14:paraId="38D82501" w14:textId="77777777" w:rsidR="00D52F1A" w:rsidRPr="00D3739D" w:rsidRDefault="00D52F1A" w:rsidP="00D66FD7">
            <w:pPr>
              <w:rPr>
                <w:bCs/>
              </w:rPr>
            </w:pPr>
            <w:r w:rsidRPr="00D3739D">
              <w:rPr>
                <w:bCs/>
              </w:rPr>
              <w:t>Cystic fibrosis</w:t>
            </w:r>
          </w:p>
        </w:tc>
      </w:tr>
      <w:tr w:rsidR="009E107B" w:rsidRPr="005144C0" w14:paraId="209F61DB" w14:textId="77777777" w:rsidTr="00075E3B">
        <w:tc>
          <w:tcPr>
            <w:tcW w:w="2155" w:type="dxa"/>
          </w:tcPr>
          <w:p w14:paraId="32D0A364" w14:textId="1D79D957" w:rsidR="009E107B" w:rsidRPr="00075E3B" w:rsidRDefault="009E107B" w:rsidP="00D66FD7">
            <w:pPr>
              <w:autoSpaceDE w:val="0"/>
              <w:autoSpaceDN w:val="0"/>
              <w:adjustRightInd w:val="0"/>
              <w:snapToGrid w:val="0"/>
              <w:rPr>
                <w:color w:val="000000"/>
              </w:rPr>
            </w:pPr>
            <w:r>
              <w:rPr>
                <w:color w:val="000000"/>
              </w:rPr>
              <w:t>E88.01</w:t>
            </w:r>
          </w:p>
        </w:tc>
        <w:tc>
          <w:tcPr>
            <w:tcW w:w="7195" w:type="dxa"/>
          </w:tcPr>
          <w:p w14:paraId="091909F3" w14:textId="725A3D6A" w:rsidR="009E107B" w:rsidRPr="00D3739D" w:rsidRDefault="009E107B" w:rsidP="00D66FD7">
            <w:pPr>
              <w:rPr>
                <w:bCs/>
              </w:rPr>
            </w:pPr>
            <w:r w:rsidRPr="009E107B">
              <w:rPr>
                <w:bCs/>
              </w:rPr>
              <w:t>Alpha-1-antitrypsin deficiency</w:t>
            </w:r>
          </w:p>
        </w:tc>
      </w:tr>
      <w:tr w:rsidR="00D52F1A" w:rsidRPr="005144C0" w14:paraId="19FEE1C9" w14:textId="77777777" w:rsidTr="00075E3B">
        <w:tc>
          <w:tcPr>
            <w:tcW w:w="2155" w:type="dxa"/>
          </w:tcPr>
          <w:p w14:paraId="2B105DDE"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I27.0-I27.9</w:t>
            </w:r>
          </w:p>
        </w:tc>
        <w:tc>
          <w:tcPr>
            <w:tcW w:w="7195" w:type="dxa"/>
          </w:tcPr>
          <w:p w14:paraId="2DEDE1DF" w14:textId="77777777" w:rsidR="00D52F1A" w:rsidRPr="00D3739D" w:rsidRDefault="00D52F1A" w:rsidP="00D66FD7">
            <w:pPr>
              <w:rPr>
                <w:bCs/>
              </w:rPr>
            </w:pPr>
            <w:r w:rsidRPr="00D3739D">
              <w:rPr>
                <w:bCs/>
              </w:rPr>
              <w:t>Other pulmonary heart diseases</w:t>
            </w:r>
          </w:p>
        </w:tc>
      </w:tr>
      <w:tr w:rsidR="00D52F1A" w:rsidRPr="005144C0" w14:paraId="4CB27E13" w14:textId="77777777" w:rsidTr="00075E3B">
        <w:tc>
          <w:tcPr>
            <w:tcW w:w="2155" w:type="dxa"/>
          </w:tcPr>
          <w:p w14:paraId="62289138"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I42.0-I43</w:t>
            </w:r>
          </w:p>
        </w:tc>
        <w:tc>
          <w:tcPr>
            <w:tcW w:w="7195" w:type="dxa"/>
          </w:tcPr>
          <w:p w14:paraId="4957E9D5" w14:textId="77777777" w:rsidR="00D52F1A" w:rsidRPr="00D3739D" w:rsidRDefault="00D52F1A" w:rsidP="00D66FD7">
            <w:pPr>
              <w:rPr>
                <w:bCs/>
              </w:rPr>
            </w:pPr>
            <w:r w:rsidRPr="00D3739D">
              <w:rPr>
                <w:bCs/>
              </w:rPr>
              <w:t>Cardiomyopathy</w:t>
            </w:r>
          </w:p>
        </w:tc>
      </w:tr>
      <w:tr w:rsidR="006D7DE0" w:rsidRPr="005144C0" w14:paraId="4837B72F" w14:textId="77777777" w:rsidTr="00075E3B">
        <w:tc>
          <w:tcPr>
            <w:tcW w:w="2155" w:type="dxa"/>
          </w:tcPr>
          <w:p w14:paraId="61D788F6" w14:textId="7BF5B607" w:rsidR="006D7DE0" w:rsidRPr="00075E3B" w:rsidRDefault="006D7DE0" w:rsidP="00D66FD7">
            <w:pPr>
              <w:autoSpaceDE w:val="0"/>
              <w:autoSpaceDN w:val="0"/>
              <w:adjustRightInd w:val="0"/>
              <w:snapToGrid w:val="0"/>
              <w:rPr>
                <w:color w:val="000000"/>
              </w:rPr>
            </w:pPr>
            <w:r>
              <w:rPr>
                <w:color w:val="000000"/>
              </w:rPr>
              <w:t>I50.84</w:t>
            </w:r>
          </w:p>
        </w:tc>
        <w:tc>
          <w:tcPr>
            <w:tcW w:w="7195" w:type="dxa"/>
          </w:tcPr>
          <w:p w14:paraId="24AE27C0" w14:textId="07AC71DD" w:rsidR="006D7DE0" w:rsidRPr="00D3739D" w:rsidRDefault="006D7DE0" w:rsidP="00D66FD7">
            <w:pPr>
              <w:rPr>
                <w:bCs/>
              </w:rPr>
            </w:pPr>
            <w:r>
              <w:rPr>
                <w:bCs/>
              </w:rPr>
              <w:t>End stage heart failure</w:t>
            </w:r>
          </w:p>
        </w:tc>
      </w:tr>
      <w:tr w:rsidR="00D52F1A" w:rsidRPr="005144C0" w14:paraId="4ECC1494" w14:textId="77777777" w:rsidTr="00075E3B">
        <w:tc>
          <w:tcPr>
            <w:tcW w:w="2155" w:type="dxa"/>
          </w:tcPr>
          <w:p w14:paraId="769B75BE"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J44.0-J44.9</w:t>
            </w:r>
          </w:p>
        </w:tc>
        <w:tc>
          <w:tcPr>
            <w:tcW w:w="7195" w:type="dxa"/>
          </w:tcPr>
          <w:p w14:paraId="4500E7DE" w14:textId="77777777" w:rsidR="00D52F1A" w:rsidRPr="00D3739D" w:rsidRDefault="00D52F1A" w:rsidP="00D66FD7">
            <w:pPr>
              <w:autoSpaceDE w:val="0"/>
              <w:autoSpaceDN w:val="0"/>
              <w:adjustRightInd w:val="0"/>
              <w:snapToGrid w:val="0"/>
              <w:rPr>
                <w:bCs/>
              </w:rPr>
            </w:pPr>
            <w:r w:rsidRPr="00D3739D">
              <w:rPr>
                <w:color w:val="000000"/>
                <w:lang w:val="x-none"/>
              </w:rPr>
              <w:t>Other chronic obstructive pulmonary disease</w:t>
            </w:r>
          </w:p>
        </w:tc>
      </w:tr>
      <w:tr w:rsidR="00D35CCD" w:rsidRPr="005144C0" w14:paraId="5DB8710D" w14:textId="77777777" w:rsidTr="00075E3B">
        <w:tc>
          <w:tcPr>
            <w:tcW w:w="2155" w:type="dxa"/>
          </w:tcPr>
          <w:p w14:paraId="063E3EF2" w14:textId="77777777" w:rsidR="00D35CCD" w:rsidRPr="00D3739D" w:rsidRDefault="00D35CCD" w:rsidP="00D35CCD">
            <w:pPr>
              <w:autoSpaceDE w:val="0"/>
              <w:autoSpaceDN w:val="0"/>
              <w:adjustRightInd w:val="0"/>
              <w:snapToGrid w:val="0"/>
              <w:rPr>
                <w:color w:val="000000"/>
                <w:lang w:val="x-none"/>
              </w:rPr>
            </w:pPr>
            <w:r w:rsidRPr="004B2589">
              <w:t>J47.0- J47.9</w:t>
            </w:r>
          </w:p>
        </w:tc>
        <w:tc>
          <w:tcPr>
            <w:tcW w:w="7195" w:type="dxa"/>
          </w:tcPr>
          <w:p w14:paraId="1D0180D7" w14:textId="77777777" w:rsidR="00D35CCD" w:rsidRPr="00D3739D" w:rsidRDefault="00D35CCD" w:rsidP="00D35CCD">
            <w:pPr>
              <w:autoSpaceDE w:val="0"/>
              <w:autoSpaceDN w:val="0"/>
              <w:adjustRightInd w:val="0"/>
              <w:snapToGrid w:val="0"/>
              <w:rPr>
                <w:color w:val="000000"/>
                <w:lang w:val="x-none"/>
              </w:rPr>
            </w:pPr>
            <w:r w:rsidRPr="004B2589">
              <w:t>Bronchiectasis</w:t>
            </w:r>
          </w:p>
        </w:tc>
      </w:tr>
      <w:tr w:rsidR="00D52F1A" w:rsidRPr="005144C0" w14:paraId="57659C50" w14:textId="77777777" w:rsidTr="00075E3B">
        <w:tc>
          <w:tcPr>
            <w:tcW w:w="2155" w:type="dxa"/>
          </w:tcPr>
          <w:p w14:paraId="07D5DB5D"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J84.1</w:t>
            </w:r>
            <w:r w:rsidR="002676EE">
              <w:rPr>
                <w:color w:val="000000"/>
              </w:rPr>
              <w:t>0</w:t>
            </w:r>
          </w:p>
        </w:tc>
        <w:tc>
          <w:tcPr>
            <w:tcW w:w="7195" w:type="dxa"/>
          </w:tcPr>
          <w:p w14:paraId="324D37E2" w14:textId="77777777" w:rsidR="00D52F1A" w:rsidRPr="00D3739D" w:rsidRDefault="00D52F1A" w:rsidP="00D66FD7">
            <w:pPr>
              <w:autoSpaceDE w:val="0"/>
              <w:autoSpaceDN w:val="0"/>
              <w:adjustRightInd w:val="0"/>
              <w:snapToGrid w:val="0"/>
              <w:rPr>
                <w:bCs/>
              </w:rPr>
            </w:pPr>
            <w:r w:rsidRPr="00D3739D">
              <w:rPr>
                <w:color w:val="000000"/>
                <w:lang w:val="x-none"/>
              </w:rPr>
              <w:t>Pulmonary fibrosis, unspecified</w:t>
            </w:r>
          </w:p>
        </w:tc>
      </w:tr>
      <w:tr w:rsidR="00D52F1A" w:rsidRPr="005144C0" w14:paraId="63926525" w14:textId="77777777" w:rsidTr="00075E3B">
        <w:tc>
          <w:tcPr>
            <w:tcW w:w="2155" w:type="dxa"/>
          </w:tcPr>
          <w:p w14:paraId="702A8047"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M32.9</w:t>
            </w:r>
          </w:p>
        </w:tc>
        <w:tc>
          <w:tcPr>
            <w:tcW w:w="7195" w:type="dxa"/>
          </w:tcPr>
          <w:p w14:paraId="29880E1E" w14:textId="2112B122" w:rsidR="00D52F1A" w:rsidRPr="002A0875" w:rsidRDefault="00D52F1A" w:rsidP="00D66FD7">
            <w:pPr>
              <w:autoSpaceDE w:val="0"/>
              <w:autoSpaceDN w:val="0"/>
              <w:adjustRightInd w:val="0"/>
              <w:snapToGrid w:val="0"/>
              <w:rPr>
                <w:b/>
                <w:bCs/>
              </w:rPr>
            </w:pPr>
            <w:r w:rsidRPr="00DA683D">
              <w:rPr>
                <w:color w:val="000000"/>
                <w:lang w:val="x-none"/>
              </w:rPr>
              <w:t>Systemic lupus erythematosus (SLE)</w:t>
            </w:r>
            <w:r w:rsidR="002A0875">
              <w:rPr>
                <w:color w:val="000000"/>
              </w:rPr>
              <w:t>, unspecified</w:t>
            </w:r>
          </w:p>
        </w:tc>
      </w:tr>
      <w:tr w:rsidR="00D52F1A" w:rsidRPr="005144C0" w14:paraId="2A2BF357" w14:textId="77777777" w:rsidTr="00075E3B">
        <w:tc>
          <w:tcPr>
            <w:tcW w:w="2155" w:type="dxa"/>
          </w:tcPr>
          <w:p w14:paraId="023F2AE4"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Q33.0-Q33.9</w:t>
            </w:r>
          </w:p>
        </w:tc>
        <w:tc>
          <w:tcPr>
            <w:tcW w:w="7195" w:type="dxa"/>
          </w:tcPr>
          <w:p w14:paraId="4C5D1643" w14:textId="77777777" w:rsidR="00D52F1A" w:rsidRPr="00D3739D" w:rsidRDefault="00D52F1A" w:rsidP="00D66FD7">
            <w:pPr>
              <w:autoSpaceDE w:val="0"/>
              <w:autoSpaceDN w:val="0"/>
              <w:adjustRightInd w:val="0"/>
              <w:snapToGrid w:val="0"/>
              <w:rPr>
                <w:bCs/>
              </w:rPr>
            </w:pPr>
            <w:r w:rsidRPr="00D3739D">
              <w:rPr>
                <w:color w:val="000000"/>
                <w:lang w:val="x-none"/>
              </w:rPr>
              <w:t>Congenital malformations of lung</w:t>
            </w:r>
          </w:p>
        </w:tc>
      </w:tr>
      <w:tr w:rsidR="00D52F1A" w:rsidRPr="005144C0" w14:paraId="375B5171" w14:textId="77777777" w:rsidTr="00075E3B">
        <w:tc>
          <w:tcPr>
            <w:tcW w:w="2155" w:type="dxa"/>
          </w:tcPr>
          <w:p w14:paraId="732329C4" w14:textId="77777777" w:rsidR="00D52F1A" w:rsidRPr="00D3739D" w:rsidRDefault="00D52F1A" w:rsidP="00D66FD7">
            <w:pPr>
              <w:autoSpaceDE w:val="0"/>
              <w:autoSpaceDN w:val="0"/>
              <w:adjustRightInd w:val="0"/>
              <w:snapToGrid w:val="0"/>
              <w:rPr>
                <w:color w:val="000000"/>
                <w:lang w:val="x-none"/>
              </w:rPr>
            </w:pPr>
            <w:r w:rsidRPr="00D3739D">
              <w:rPr>
                <w:color w:val="000000"/>
                <w:lang w:val="x-none"/>
              </w:rPr>
              <w:t>Q34.9</w:t>
            </w:r>
          </w:p>
        </w:tc>
        <w:tc>
          <w:tcPr>
            <w:tcW w:w="7195" w:type="dxa"/>
          </w:tcPr>
          <w:p w14:paraId="27064A40" w14:textId="652222F1" w:rsidR="00D52F1A" w:rsidRPr="002A0875" w:rsidRDefault="00D52F1A" w:rsidP="00D66FD7">
            <w:pPr>
              <w:autoSpaceDE w:val="0"/>
              <w:autoSpaceDN w:val="0"/>
              <w:adjustRightInd w:val="0"/>
              <w:snapToGrid w:val="0"/>
              <w:rPr>
                <w:bCs/>
              </w:rPr>
            </w:pPr>
            <w:r w:rsidRPr="00D3739D">
              <w:rPr>
                <w:color w:val="000000"/>
                <w:lang w:val="x-none"/>
              </w:rPr>
              <w:t>Congenital malformations of respiratory system</w:t>
            </w:r>
            <w:r w:rsidR="002A0875">
              <w:rPr>
                <w:color w:val="000000"/>
              </w:rPr>
              <w:t>, unspecified</w:t>
            </w:r>
          </w:p>
        </w:tc>
      </w:tr>
    </w:tbl>
    <w:p w14:paraId="45502DDF" w14:textId="77777777" w:rsidR="00D52F1A" w:rsidRDefault="00D52F1A" w:rsidP="00D52F1A"/>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D52F1A" w:rsidRPr="00B777AF" w14:paraId="45C5055B" w14:textId="77777777" w:rsidTr="00D66FD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2FFCAB57" w14:textId="77777777" w:rsidR="00D52F1A" w:rsidRPr="00B777AF" w:rsidRDefault="00D52F1A" w:rsidP="00D66FD7">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0B45EE98" w14:textId="77777777" w:rsidR="00D52F1A" w:rsidRPr="00B777AF" w:rsidRDefault="00D52F1A" w:rsidP="00D66FD7">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14DEE35C" w14:textId="77777777" w:rsidR="00D52F1A" w:rsidRPr="00B777AF" w:rsidRDefault="00D52F1A" w:rsidP="00D66FD7">
            <w:pPr>
              <w:jc w:val="center"/>
              <w:rPr>
                <w:bCs w:val="0"/>
              </w:rPr>
            </w:pPr>
            <w:r>
              <w:rPr>
                <w:bCs w:val="0"/>
              </w:rPr>
              <w:t>Approval</w:t>
            </w:r>
            <w:r w:rsidRPr="00B777AF">
              <w:rPr>
                <w:bCs w:val="0"/>
              </w:rPr>
              <w:t xml:space="preserve"> Date</w:t>
            </w:r>
          </w:p>
        </w:tc>
      </w:tr>
      <w:tr w:rsidR="00D52F1A" w14:paraId="5C64FC72" w14:textId="77777777" w:rsidTr="00D66F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326B5218" w14:textId="77777777" w:rsidR="00D52F1A" w:rsidRDefault="00DF5471" w:rsidP="00D66FD7">
            <w:pPr>
              <w:tabs>
                <w:tab w:val="num" w:pos="720"/>
              </w:tabs>
            </w:pPr>
            <w:r>
              <w:t xml:space="preserve">New policy. </w:t>
            </w:r>
          </w:p>
        </w:tc>
        <w:tc>
          <w:tcPr>
            <w:tcW w:w="810" w:type="dxa"/>
            <w:tcBorders>
              <w:top w:val="none" w:sz="0" w:space="0" w:color="auto"/>
              <w:bottom w:val="none" w:sz="0" w:space="0" w:color="auto"/>
            </w:tcBorders>
          </w:tcPr>
          <w:p w14:paraId="5A393AFC" w14:textId="77777777" w:rsidR="00D52F1A" w:rsidRDefault="00DF5471" w:rsidP="00D66FD7">
            <w:pPr>
              <w:jc w:val="center"/>
              <w:cnfStyle w:val="000000100000" w:firstRow="0" w:lastRow="0" w:firstColumn="0" w:lastColumn="0" w:oddVBand="0" w:evenVBand="0" w:oddHBand="1" w:evenHBand="0" w:firstRowFirstColumn="0" w:firstRowLastColumn="0" w:lastRowFirstColumn="0" w:lastRowLastColumn="0"/>
            </w:pPr>
            <w:r>
              <w:t>06/17</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6098AE56" w14:textId="77777777" w:rsidR="00D52F1A" w:rsidRDefault="00483B17" w:rsidP="00D66FD7">
            <w:pPr>
              <w:jc w:val="center"/>
            </w:pPr>
            <w:r>
              <w:t>06/17</w:t>
            </w:r>
          </w:p>
        </w:tc>
      </w:tr>
      <w:tr w:rsidR="00435D92" w14:paraId="4E355EF7" w14:textId="77777777" w:rsidTr="00D66FD7">
        <w:tc>
          <w:tcPr>
            <w:cnfStyle w:val="000010000000" w:firstRow="0" w:lastRow="0" w:firstColumn="0" w:lastColumn="0" w:oddVBand="1" w:evenVBand="0" w:oddHBand="0" w:evenHBand="0" w:firstRowFirstColumn="0" w:firstRowLastColumn="0" w:lastRowFirstColumn="0" w:lastRowLastColumn="0"/>
            <w:tcW w:w="7578" w:type="dxa"/>
          </w:tcPr>
          <w:p w14:paraId="29358E23" w14:textId="77777777" w:rsidR="00435D92" w:rsidRDefault="00345D45" w:rsidP="00D66FD7">
            <w:pPr>
              <w:tabs>
                <w:tab w:val="num" w:pos="720"/>
              </w:tabs>
            </w:pPr>
            <w:r>
              <w:t>References reviewed and updated.</w:t>
            </w:r>
          </w:p>
        </w:tc>
        <w:tc>
          <w:tcPr>
            <w:tcW w:w="810" w:type="dxa"/>
          </w:tcPr>
          <w:p w14:paraId="069A9DB3" w14:textId="77777777" w:rsidR="00435D92" w:rsidRDefault="00435D92" w:rsidP="00D66FD7">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74A08C5A" w14:textId="77777777" w:rsidR="00435D92" w:rsidRDefault="00934067" w:rsidP="00D66FD7">
            <w:pPr>
              <w:jc w:val="center"/>
            </w:pPr>
            <w:r>
              <w:t>04/18</w:t>
            </w:r>
          </w:p>
        </w:tc>
      </w:tr>
      <w:tr w:rsidR="00D35CCD" w14:paraId="2950511A" w14:textId="77777777" w:rsidTr="00D66F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08916C0" w14:textId="77777777" w:rsidR="00D35CCD" w:rsidRDefault="00D35CCD" w:rsidP="00D35CCD">
            <w:pPr>
              <w:tabs>
                <w:tab w:val="num" w:pos="720"/>
              </w:tabs>
            </w:pPr>
            <w:r>
              <w:t xml:space="preserve">Corrected codes for bronchiectasis to be J47.0-J47.9. </w:t>
            </w:r>
          </w:p>
        </w:tc>
        <w:tc>
          <w:tcPr>
            <w:tcW w:w="810" w:type="dxa"/>
          </w:tcPr>
          <w:p w14:paraId="563AA89A" w14:textId="77777777" w:rsidR="00D35CCD" w:rsidRDefault="00D35CCD" w:rsidP="00D66FD7">
            <w:pPr>
              <w:jc w:val="center"/>
              <w:cnfStyle w:val="000000100000" w:firstRow="0" w:lastRow="0" w:firstColumn="0" w:lastColumn="0" w:oddVBand="0" w:evenVBand="0" w:oddHBand="1"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Pr>
          <w:p w14:paraId="236308AB" w14:textId="77777777" w:rsidR="00D35CCD" w:rsidRDefault="00D35CCD" w:rsidP="00D66FD7">
            <w:pPr>
              <w:jc w:val="center"/>
            </w:pPr>
          </w:p>
        </w:tc>
      </w:tr>
      <w:tr w:rsidR="006945A4" w14:paraId="28C0F883" w14:textId="77777777" w:rsidTr="00D66FD7">
        <w:tc>
          <w:tcPr>
            <w:cnfStyle w:val="000010000000" w:firstRow="0" w:lastRow="0" w:firstColumn="0" w:lastColumn="0" w:oddVBand="1" w:evenVBand="0" w:oddHBand="0" w:evenHBand="0" w:firstRowFirstColumn="0" w:firstRowLastColumn="0" w:lastRowFirstColumn="0" w:lastRowLastColumn="0"/>
            <w:tcW w:w="7578" w:type="dxa"/>
          </w:tcPr>
          <w:p w14:paraId="09442924" w14:textId="77777777" w:rsidR="006945A4" w:rsidRDefault="006945A4" w:rsidP="005548AE">
            <w:pPr>
              <w:tabs>
                <w:tab w:val="num" w:pos="720"/>
              </w:tabs>
            </w:pPr>
            <w:r>
              <w:t xml:space="preserve">Reworded contraindications </w:t>
            </w:r>
            <w:r w:rsidR="005548AE">
              <w:t>regarding retransplantation</w:t>
            </w:r>
            <w:r>
              <w:t xml:space="preserve"> with no change of meaning</w:t>
            </w:r>
          </w:p>
        </w:tc>
        <w:tc>
          <w:tcPr>
            <w:tcW w:w="810" w:type="dxa"/>
          </w:tcPr>
          <w:p w14:paraId="16EB03A0" w14:textId="77777777" w:rsidR="006945A4" w:rsidRDefault="006945A4" w:rsidP="00D66FD7">
            <w:pPr>
              <w:jc w:val="center"/>
              <w:cnfStyle w:val="000000000000" w:firstRow="0" w:lastRow="0" w:firstColumn="0" w:lastColumn="0" w:oddVBand="0" w:evenVBand="0" w:oddHBand="0" w:evenHBand="0" w:firstRowFirstColumn="0" w:firstRowLastColumn="0" w:lastRowFirstColumn="0" w:lastRowLastColumn="0"/>
            </w:pPr>
            <w:r>
              <w:t>10/18</w:t>
            </w:r>
          </w:p>
        </w:tc>
        <w:tc>
          <w:tcPr>
            <w:cnfStyle w:val="000010000000" w:firstRow="0" w:lastRow="0" w:firstColumn="0" w:lastColumn="0" w:oddVBand="1" w:evenVBand="0" w:oddHBand="0" w:evenHBand="0" w:firstRowFirstColumn="0" w:firstRowLastColumn="0" w:lastRowFirstColumn="0" w:lastRowLastColumn="0"/>
            <w:tcW w:w="1260" w:type="dxa"/>
          </w:tcPr>
          <w:p w14:paraId="50F6D7C8" w14:textId="77777777" w:rsidR="006945A4" w:rsidRDefault="006945A4" w:rsidP="00D66FD7">
            <w:pPr>
              <w:jc w:val="center"/>
            </w:pPr>
          </w:p>
        </w:tc>
      </w:tr>
      <w:tr w:rsidR="00C52774" w14:paraId="0D13C498" w14:textId="77777777" w:rsidTr="00D66F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C9DF762" w14:textId="0BE13C6D" w:rsidR="00C52774" w:rsidRDefault="007D7794" w:rsidP="007D3037">
            <w:pPr>
              <w:tabs>
                <w:tab w:val="num" w:pos="720"/>
              </w:tabs>
            </w:pPr>
            <w:r>
              <w:t>Added contraindication of “Active peptic ulcer disease”.  References reviewed and updated.</w:t>
            </w:r>
            <w:r w:rsidR="009079D4">
              <w:t xml:space="preserve">  Codes reviewed and updated.</w:t>
            </w:r>
            <w:r w:rsidR="00157645">
              <w:t xml:space="preserve">  Specialist reviewed.</w:t>
            </w:r>
          </w:p>
        </w:tc>
        <w:tc>
          <w:tcPr>
            <w:tcW w:w="810" w:type="dxa"/>
          </w:tcPr>
          <w:p w14:paraId="63283AD9" w14:textId="324384FF" w:rsidR="00C52774" w:rsidRDefault="00C52774" w:rsidP="00D66FD7">
            <w:pPr>
              <w:jc w:val="center"/>
              <w:cnfStyle w:val="000000100000" w:firstRow="0" w:lastRow="0" w:firstColumn="0" w:lastColumn="0" w:oddVBand="0" w:evenVBand="0" w:oddHBand="1"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14:paraId="19668547" w14:textId="4F89BCD5" w:rsidR="00C52774" w:rsidRDefault="0023495F" w:rsidP="00D66FD7">
            <w:pPr>
              <w:jc w:val="center"/>
            </w:pPr>
            <w:r>
              <w:t>04/19</w:t>
            </w:r>
            <w:bookmarkStart w:id="2" w:name="_GoBack"/>
            <w:bookmarkEnd w:id="2"/>
          </w:p>
        </w:tc>
      </w:tr>
    </w:tbl>
    <w:p w14:paraId="0E0A7FCD" w14:textId="77777777" w:rsidR="00B777AF" w:rsidRDefault="00B777AF" w:rsidP="00B777AF">
      <w:pPr>
        <w:pStyle w:val="Heading6"/>
        <w:tabs>
          <w:tab w:val="clear" w:pos="0"/>
        </w:tabs>
      </w:pPr>
    </w:p>
    <w:p w14:paraId="43D59684" w14:textId="77777777" w:rsidR="00963062" w:rsidRPr="00B777AF" w:rsidRDefault="003F3D44" w:rsidP="00963062">
      <w:pPr>
        <w:pStyle w:val="Heading3"/>
      </w:pPr>
      <w:r>
        <w:t>References</w:t>
      </w:r>
    </w:p>
    <w:p w14:paraId="73FC24E2" w14:textId="6B25C113" w:rsidR="00D52F1A" w:rsidRPr="005D0F00" w:rsidRDefault="00D52F1A">
      <w:pPr>
        <w:pStyle w:val="ListParagraph"/>
        <w:numPr>
          <w:ilvl w:val="0"/>
          <w:numId w:val="21"/>
        </w:numPr>
        <w:ind w:left="360"/>
      </w:pPr>
      <w:r w:rsidRPr="005D0F00">
        <w:rPr>
          <w:color w:val="222222"/>
        </w:rPr>
        <w:t xml:space="preserve">Mehra, Mandeep R., et al. "The 2016 International Society for Heart Lung Transplantation listing criteria for heart transplantation: a 10-year update." </w:t>
      </w:r>
      <w:r w:rsidRPr="005D0F00">
        <w:rPr>
          <w:i/>
          <w:iCs/>
          <w:color w:val="222222"/>
        </w:rPr>
        <w:t>J Heart Lung Transplant</w:t>
      </w:r>
      <w:r w:rsidRPr="005D0F00">
        <w:rPr>
          <w:color w:val="222222"/>
        </w:rPr>
        <w:t xml:space="preserve"> 35.1 (2016): 1-23.</w:t>
      </w:r>
      <w:r w:rsidR="00131CD3" w:rsidRPr="00075E3B">
        <w:rPr>
          <w:color w:val="222222"/>
        </w:rPr>
        <w:t xml:space="preserve">  Accessed March 26, 2019.</w:t>
      </w:r>
    </w:p>
    <w:p w14:paraId="2B1FF7A0" w14:textId="72C4031C" w:rsidR="00D52F1A" w:rsidRPr="005C556D" w:rsidRDefault="00D52F1A">
      <w:pPr>
        <w:pStyle w:val="ListParagraph"/>
        <w:numPr>
          <w:ilvl w:val="0"/>
          <w:numId w:val="21"/>
        </w:numPr>
        <w:autoSpaceDE w:val="0"/>
        <w:autoSpaceDN w:val="0"/>
        <w:adjustRightInd w:val="0"/>
        <w:snapToGrid w:val="0"/>
        <w:ind w:left="360"/>
        <w:rPr>
          <w:color w:val="000000"/>
          <w:lang w:val="x-none"/>
        </w:rPr>
      </w:pPr>
      <w:r w:rsidRPr="00140F0C">
        <w:rPr>
          <w:bCs/>
        </w:rPr>
        <w:t>Nador, RG.  “Heart-lung transplantation.”  In: UpToDate, Hunt SA (Ed), UpToDate, Waltham, MA.  Accessed on</w:t>
      </w:r>
      <w:r w:rsidRPr="005C556D">
        <w:rPr>
          <w:bCs/>
        </w:rPr>
        <w:t xml:space="preserve"> </w:t>
      </w:r>
      <w:r w:rsidR="009127D0">
        <w:rPr>
          <w:bCs/>
        </w:rPr>
        <w:t>March 25, 2019</w:t>
      </w:r>
      <w:r w:rsidR="00934067">
        <w:rPr>
          <w:bCs/>
        </w:rPr>
        <w:t>.</w:t>
      </w:r>
    </w:p>
    <w:p w14:paraId="2B8C8019" w14:textId="39C09383" w:rsidR="00583648" w:rsidRPr="00E66CD7" w:rsidRDefault="00583648">
      <w:pPr>
        <w:pStyle w:val="ListParagraph"/>
        <w:numPr>
          <w:ilvl w:val="0"/>
          <w:numId w:val="21"/>
        </w:numPr>
        <w:ind w:left="360"/>
        <w:rPr>
          <w:color w:val="000000" w:themeColor="text1"/>
        </w:rPr>
      </w:pPr>
      <w:r w:rsidRPr="00583648">
        <w:rPr>
          <w:color w:val="222222"/>
        </w:rPr>
        <w:t xml:space="preserve">Spahr, Jonathan E., and Shawn C. West. "Heart-lung transplantation: pediatric indications and outcomes." </w:t>
      </w:r>
      <w:r w:rsidRPr="00583648">
        <w:rPr>
          <w:i/>
          <w:iCs/>
          <w:color w:val="222222"/>
        </w:rPr>
        <w:t>Journal of thoracic disease</w:t>
      </w:r>
      <w:r w:rsidRPr="00583648">
        <w:rPr>
          <w:color w:val="222222"/>
        </w:rPr>
        <w:t xml:space="preserve"> 6.8 (2014): 1129.</w:t>
      </w:r>
      <w:r w:rsidR="007D7794">
        <w:rPr>
          <w:color w:val="222222"/>
        </w:rPr>
        <w:t xml:space="preserve">  A</w:t>
      </w:r>
      <w:r w:rsidR="00254501">
        <w:rPr>
          <w:color w:val="222222"/>
        </w:rPr>
        <w:t>ccessed</w:t>
      </w:r>
      <w:r w:rsidR="007D7794">
        <w:rPr>
          <w:color w:val="222222"/>
        </w:rPr>
        <w:t xml:space="preserve"> March 25, 2019.</w:t>
      </w:r>
    </w:p>
    <w:p w14:paraId="481AF94D" w14:textId="77777777" w:rsidR="00E66CD7" w:rsidRPr="00A96E90" w:rsidRDefault="00E66CD7">
      <w:pPr>
        <w:pStyle w:val="ListParagraph"/>
        <w:numPr>
          <w:ilvl w:val="0"/>
          <w:numId w:val="21"/>
        </w:numPr>
        <w:ind w:left="360"/>
      </w:pPr>
      <w:r w:rsidRPr="00735AED">
        <w:rPr>
          <w:color w:val="222222"/>
          <w:shd w:val="clear" w:color="auto" w:fill="FFFFFF"/>
        </w:rPr>
        <w:t xml:space="preserve">Canter, Charles E., et al. "Indications for Heart Transplantation in Pediatric Heart Disease A Scientific Statement </w:t>
      </w:r>
      <w:r w:rsidR="0090265C">
        <w:rPr>
          <w:color w:val="222222"/>
          <w:shd w:val="clear" w:color="auto" w:fill="FFFFFF"/>
        </w:rPr>
        <w:t>f</w:t>
      </w:r>
      <w:r w:rsidRPr="00735AED">
        <w:rPr>
          <w:color w:val="222222"/>
          <w:shd w:val="clear" w:color="auto" w:fill="FFFFFF"/>
        </w:rPr>
        <w:t>rom the American Heart Association Council on Cardiovascular Disease in the Young; the Councils on Clinical Cardiology, Cardiovascular Nursing, and Cardiovascular Surgery and Anesthesia; and the Quality of Care and Outcomes Research Interdisciplinary Working Group."</w:t>
      </w:r>
      <w:r w:rsidRPr="00735AED">
        <w:rPr>
          <w:rStyle w:val="apple-converted-space"/>
          <w:color w:val="222222"/>
          <w:shd w:val="clear" w:color="auto" w:fill="FFFFFF"/>
        </w:rPr>
        <w:t xml:space="preserve"> </w:t>
      </w:r>
      <w:r w:rsidRPr="00735AED">
        <w:rPr>
          <w:i/>
          <w:iCs/>
          <w:color w:val="222222"/>
          <w:shd w:val="clear" w:color="auto" w:fill="FFFFFF"/>
        </w:rPr>
        <w:t>Circulation</w:t>
      </w:r>
      <w:r w:rsidRPr="00735AED">
        <w:rPr>
          <w:rStyle w:val="apple-converted-space"/>
          <w:color w:val="222222"/>
          <w:shd w:val="clear" w:color="auto" w:fill="FFFFFF"/>
        </w:rPr>
        <w:t xml:space="preserve"> </w:t>
      </w:r>
      <w:r w:rsidRPr="00735AED">
        <w:rPr>
          <w:color w:val="222222"/>
          <w:shd w:val="clear" w:color="auto" w:fill="FFFFFF"/>
        </w:rPr>
        <w:t>115.5 (2007): 658-676.</w:t>
      </w:r>
    </w:p>
    <w:p w14:paraId="4DDADDFB" w14:textId="08A52A83" w:rsidR="00435D92" w:rsidRPr="00A96E90" w:rsidRDefault="00435D92" w:rsidP="00435D92">
      <w:pPr>
        <w:pStyle w:val="ListParagraph"/>
        <w:numPr>
          <w:ilvl w:val="0"/>
          <w:numId w:val="21"/>
        </w:numPr>
        <w:ind w:left="360"/>
      </w:pPr>
      <w:r>
        <w:rPr>
          <w:color w:val="222222"/>
          <w:shd w:val="clear" w:color="auto" w:fill="FFFFFF"/>
        </w:rPr>
        <w:t xml:space="preserve">Singer, LG.  </w:t>
      </w:r>
      <w:r w:rsidRPr="00435D92">
        <w:rPr>
          <w:color w:val="222222"/>
          <w:shd w:val="clear" w:color="auto" w:fill="FFFFFF"/>
        </w:rPr>
        <w:t>Heart-lung transplantation</w:t>
      </w:r>
      <w:r>
        <w:rPr>
          <w:color w:val="222222"/>
          <w:shd w:val="clear" w:color="auto" w:fill="FFFFFF"/>
        </w:rPr>
        <w:t xml:space="preserve">.  </w:t>
      </w:r>
      <w:r w:rsidRPr="00435D92">
        <w:rPr>
          <w:color w:val="222222"/>
          <w:shd w:val="clear" w:color="auto" w:fill="FFFFFF"/>
        </w:rPr>
        <w:t xml:space="preserve">In: UpToDate, Hunt SA (Ed), UpToDate, Waltham, MA.  </w:t>
      </w:r>
      <w:r w:rsidR="009E246B">
        <w:rPr>
          <w:color w:val="222222"/>
          <w:shd w:val="clear" w:color="auto" w:fill="FFFFFF"/>
        </w:rPr>
        <w:t>Accessed March 25, 2019</w:t>
      </w:r>
      <w:r>
        <w:rPr>
          <w:color w:val="222222"/>
          <w:shd w:val="clear" w:color="auto" w:fill="FFFFFF"/>
        </w:rPr>
        <w:t>.</w:t>
      </w:r>
    </w:p>
    <w:p w14:paraId="6082CC4F" w14:textId="77777777" w:rsidR="00C4766C" w:rsidRDefault="00C4766C" w:rsidP="00C4766C">
      <w:pPr>
        <w:pStyle w:val="ListParagraph"/>
        <w:numPr>
          <w:ilvl w:val="0"/>
          <w:numId w:val="21"/>
        </w:numPr>
        <w:ind w:left="180" w:hanging="180"/>
      </w:pPr>
      <w:r>
        <w:t xml:space="preserve">  Weill D, Benden C, Corris PA, et al.   A consensus document for the selection of lung</w:t>
      </w:r>
    </w:p>
    <w:p w14:paraId="14E4E2A5" w14:textId="71137D5B" w:rsidR="0090265C" w:rsidRPr="00735AED" w:rsidRDefault="00C4766C" w:rsidP="00A96E90">
      <w:pPr>
        <w:tabs>
          <w:tab w:val="left" w:pos="360"/>
        </w:tabs>
        <w:ind w:left="360"/>
      </w:pPr>
      <w:r>
        <w:t xml:space="preserve">transplant candidates:2014—An update from the Pulmonary Transplantation Council of the International Society for Heart and Lung Transplantation.  </w:t>
      </w:r>
      <w:r w:rsidRPr="00C4766C">
        <w:t xml:space="preserve">J Heart Lung Transplant. 2015 </w:t>
      </w:r>
      <w:r>
        <w:t xml:space="preserve">  </w:t>
      </w:r>
      <w:r w:rsidRPr="00C4766C">
        <w:t>Jan;34(1):1-15. doi: 10.1016/j.healun.2014.06.014. Epub 2014 Jun 26.</w:t>
      </w:r>
      <w:r>
        <w:t xml:space="preserve"> </w:t>
      </w:r>
      <w:r w:rsidR="0029438C">
        <w:t xml:space="preserve"> Accessed March 25, 2019</w:t>
      </w:r>
      <w:r w:rsidR="00400D58">
        <w:t>.</w:t>
      </w:r>
    </w:p>
    <w:p w14:paraId="2BD795A8" w14:textId="161C24CC" w:rsidR="00E66CD7" w:rsidRDefault="0090265C" w:rsidP="00400D58">
      <w:pPr>
        <w:pStyle w:val="ListParagraph"/>
        <w:numPr>
          <w:ilvl w:val="0"/>
          <w:numId w:val="21"/>
        </w:numPr>
        <w:tabs>
          <w:tab w:val="left" w:pos="360"/>
        </w:tabs>
        <w:ind w:left="360"/>
        <w:rPr>
          <w:color w:val="000000" w:themeColor="text1"/>
        </w:rPr>
      </w:pPr>
      <w:r>
        <w:rPr>
          <w:color w:val="000000" w:themeColor="text1"/>
        </w:rPr>
        <w:t xml:space="preserve">Singh RK, Singh TP.  </w:t>
      </w:r>
      <w:r w:rsidR="00966B91" w:rsidRPr="00966B91">
        <w:rPr>
          <w:color w:val="000000" w:themeColor="text1"/>
        </w:rPr>
        <w:t>Heart failure in children: Management</w:t>
      </w:r>
      <w:r w:rsidR="00966B91">
        <w:rPr>
          <w:color w:val="000000" w:themeColor="text1"/>
        </w:rPr>
        <w:t xml:space="preserve">.  </w:t>
      </w:r>
      <w:r w:rsidR="00966B91" w:rsidRPr="00966B91">
        <w:rPr>
          <w:color w:val="000000" w:themeColor="text1"/>
        </w:rPr>
        <w:t>In: UpToDate</w:t>
      </w:r>
      <w:r w:rsidR="00966B91">
        <w:rPr>
          <w:color w:val="000000" w:themeColor="text1"/>
        </w:rPr>
        <w:t xml:space="preserve">, Triedman JK (Ed), </w:t>
      </w:r>
      <w:r w:rsidR="00966B91" w:rsidRPr="00966B91">
        <w:rPr>
          <w:color w:val="000000" w:themeColor="text1"/>
        </w:rPr>
        <w:t>UpToDate, Waltham, MA.  Accessed on</w:t>
      </w:r>
      <w:r w:rsidR="00966B91">
        <w:rPr>
          <w:color w:val="000000" w:themeColor="text1"/>
        </w:rPr>
        <w:t xml:space="preserve"> </w:t>
      </w:r>
      <w:r w:rsidR="00400D58">
        <w:rPr>
          <w:color w:val="000000" w:themeColor="text1"/>
        </w:rPr>
        <w:t>March 28, 2019.</w:t>
      </w:r>
    </w:p>
    <w:p w14:paraId="3777DB9B" w14:textId="50BC6F9D" w:rsidR="00400D58" w:rsidRPr="00075E3B" w:rsidRDefault="002F1064" w:rsidP="00075E3B">
      <w:pPr>
        <w:pStyle w:val="ListParagraph"/>
        <w:numPr>
          <w:ilvl w:val="0"/>
          <w:numId w:val="21"/>
        </w:numPr>
        <w:tabs>
          <w:tab w:val="left" w:pos="360"/>
        </w:tabs>
        <w:ind w:left="360"/>
        <w:rPr>
          <w:color w:val="000000" w:themeColor="text1"/>
        </w:rPr>
      </w:pPr>
      <w:r w:rsidRPr="00075E3B">
        <w:rPr>
          <w:color w:val="000000" w:themeColor="text1"/>
        </w:rPr>
        <w:t>Helderman JH, Goral S.  Journal of the American Society of</w:t>
      </w:r>
      <w:r w:rsidR="00400D58">
        <w:rPr>
          <w:color w:val="000000" w:themeColor="text1"/>
        </w:rPr>
        <w:t xml:space="preserve"> Nephrology.  “Gastrointestina</w:t>
      </w:r>
      <w:r w:rsidR="009B0224">
        <w:rPr>
          <w:color w:val="000000" w:themeColor="text1"/>
        </w:rPr>
        <w:t xml:space="preserve">l </w:t>
      </w:r>
      <w:r w:rsidRPr="00075E3B">
        <w:rPr>
          <w:color w:val="000000" w:themeColor="text1"/>
        </w:rPr>
        <w:t>Complications of Transplant Immunosuppression.”  2002 Jan; 13(1):277-87</w:t>
      </w:r>
      <w:r w:rsidR="009B0224">
        <w:rPr>
          <w:color w:val="000000" w:themeColor="text1"/>
        </w:rPr>
        <w:t>.</w:t>
      </w:r>
    </w:p>
    <w:p w14:paraId="77FB9A5D" w14:textId="544F1B0D" w:rsidR="00560174" w:rsidRPr="00075E3B" w:rsidRDefault="009B0224" w:rsidP="00075E3B">
      <w:pPr>
        <w:pStyle w:val="ListParagraph"/>
        <w:numPr>
          <w:ilvl w:val="0"/>
          <w:numId w:val="21"/>
        </w:numPr>
        <w:tabs>
          <w:tab w:val="left" w:pos="360"/>
        </w:tabs>
        <w:ind w:left="360"/>
        <w:rPr>
          <w:color w:val="000000" w:themeColor="text1"/>
        </w:rPr>
      </w:pPr>
      <w:r>
        <w:rPr>
          <w:color w:val="000000" w:themeColor="text1"/>
        </w:rPr>
        <w:t xml:space="preserve">Vakil NM.  Unusual causes of peptic ulcer disease.  In:  UpToDate, Feldman M (Ed), </w:t>
      </w:r>
      <w:r w:rsidRPr="00435D92">
        <w:rPr>
          <w:color w:val="222222"/>
          <w:shd w:val="clear" w:color="auto" w:fill="FFFFFF"/>
        </w:rPr>
        <w:t>UpToDate, Waltham, MA.</w:t>
      </w:r>
      <w:r>
        <w:rPr>
          <w:color w:val="222222"/>
          <w:shd w:val="clear" w:color="auto" w:fill="FFFFFF"/>
        </w:rPr>
        <w:t xml:space="preserve">  </w:t>
      </w:r>
      <w:r>
        <w:rPr>
          <w:color w:val="000000" w:themeColor="text1"/>
        </w:rPr>
        <w:t>Accessed March 29, 2019.</w:t>
      </w:r>
    </w:p>
    <w:p w14:paraId="47A1CC11" w14:textId="15036A54" w:rsidR="00560174" w:rsidRDefault="00560174" w:rsidP="00075E3B">
      <w:pPr>
        <w:pStyle w:val="ListParagraph"/>
        <w:tabs>
          <w:tab w:val="left" w:pos="360"/>
        </w:tabs>
        <w:rPr>
          <w:color w:val="000000" w:themeColor="text1"/>
        </w:rPr>
      </w:pPr>
    </w:p>
    <w:p w14:paraId="591F761C"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2702FF38" w14:textId="77DE662F"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w:t>
      </w:r>
      <w:r w:rsidR="00C52774">
        <w:rPr>
          <w:rFonts w:eastAsiaTheme="minorHAnsi"/>
        </w:rPr>
        <w:t xml:space="preserve"> </w:t>
      </w:r>
      <w:r w:rsidRPr="00146C6E">
        <w:rPr>
          <w:rFonts w:eastAsiaTheme="minorHAnsi"/>
        </w:rPr>
        <w:t>“Health Plan” means a health plan that has adopted this clinical policy and that is operated or administered, in whole or in part, by Centene Management Company, LLC, or any of such health plan’s affiliates, as applicable.</w:t>
      </w:r>
    </w:p>
    <w:p w14:paraId="3905C22A" w14:textId="77777777" w:rsidR="00DD6ADB" w:rsidRPr="00146C6E" w:rsidRDefault="00DD6ADB" w:rsidP="00146C6E">
      <w:pPr>
        <w:rPr>
          <w:rFonts w:eastAsiaTheme="minorHAnsi"/>
        </w:rPr>
      </w:pPr>
    </w:p>
    <w:p w14:paraId="2CF68F4A" w14:textId="659DF829" w:rsidR="00DD6ADB" w:rsidRPr="00146C6E" w:rsidRDefault="00DD6ADB" w:rsidP="00146C6E">
      <w:pPr>
        <w:rPr>
          <w:rFonts w:eastAsiaTheme="minorHAnsi"/>
        </w:rPr>
      </w:pPr>
      <w:r w:rsidRPr="00146C6E">
        <w:rPr>
          <w:rFonts w:eastAsiaTheme="minorHAnsi"/>
        </w:rPr>
        <w:t>The purpose of this clinical policy is to provide a guide to medical necessity, which is a component of the guidelines used to assist in making coverage decisions and administering benefits.</w:t>
      </w:r>
      <w:r w:rsidR="0011101F">
        <w:rPr>
          <w:rFonts w:eastAsiaTheme="minorHAnsi"/>
        </w:rPr>
        <w:t xml:space="preserve"> </w:t>
      </w:r>
      <w:r w:rsidRPr="00146C6E">
        <w:rPr>
          <w:rFonts w:eastAsiaTheme="minorHAnsi"/>
        </w:rPr>
        <w:t xml:space="preserve"> It does not constitute a contract or guarantee regarding payment or results.</w:t>
      </w:r>
      <w:r w:rsidR="0011101F">
        <w:rPr>
          <w:rFonts w:eastAsiaTheme="minorHAnsi"/>
        </w:rPr>
        <w:t xml:space="preserve"> </w:t>
      </w:r>
      <w:r w:rsidRPr="00146C6E">
        <w:rPr>
          <w:rFonts w:eastAsiaTheme="minorHAnsi"/>
        </w:rPr>
        <w:t xml:space="preserve">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9E3CF0C" w14:textId="77777777" w:rsidR="00DD6ADB" w:rsidRPr="00146C6E" w:rsidRDefault="00DD6ADB" w:rsidP="00146C6E">
      <w:pPr>
        <w:rPr>
          <w:rFonts w:eastAsiaTheme="minorHAnsi"/>
        </w:rPr>
      </w:pPr>
    </w:p>
    <w:p w14:paraId="038AA594" w14:textId="5B838FE3"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w:t>
      </w:r>
      <w:r w:rsidR="0011101F">
        <w:rPr>
          <w:rFonts w:eastAsiaTheme="minorHAnsi"/>
        </w:rPr>
        <w:t xml:space="preserve"> </w:t>
      </w:r>
      <w:r w:rsidRPr="00146C6E">
        <w:rPr>
          <w:rFonts w:eastAsiaTheme="minorHAnsi"/>
        </w:rPr>
        <w:t xml:space="preserve"> This clinical policy may be subject to applicable legal and regulatory requirements relating to provider notification. </w:t>
      </w:r>
      <w:r w:rsidR="0011101F">
        <w:rPr>
          <w:rFonts w:eastAsiaTheme="minorHAnsi"/>
        </w:rPr>
        <w:t xml:space="preserve"> </w:t>
      </w:r>
      <w:r w:rsidRPr="00146C6E">
        <w:rPr>
          <w:rFonts w:eastAsiaTheme="minorHAnsi"/>
        </w:rPr>
        <w:t xml:space="preserve">If there is a discrepancy between the effective date of this clinical policy and any applicable legal or regulatory requirement, the requirements of law and regulation shall govern. </w:t>
      </w:r>
      <w:r w:rsidR="0011101F">
        <w:rPr>
          <w:rFonts w:eastAsiaTheme="minorHAnsi"/>
        </w:rPr>
        <w:t xml:space="preserve"> </w:t>
      </w:r>
      <w:r w:rsidRPr="00146C6E">
        <w:rPr>
          <w:rFonts w:eastAsiaTheme="minorHAnsi"/>
        </w:rPr>
        <w:t>The Health Plan retains the right to change, amend or withdraw this clinical policy, and additional clinical policies may be developed and adopted as needed, at any time.</w:t>
      </w:r>
    </w:p>
    <w:p w14:paraId="78FEC44D" w14:textId="77777777" w:rsidR="00DD6ADB" w:rsidRPr="00146C6E" w:rsidRDefault="00DD6ADB" w:rsidP="00146C6E">
      <w:pPr>
        <w:rPr>
          <w:rFonts w:eastAsiaTheme="minorHAnsi"/>
        </w:rPr>
      </w:pPr>
    </w:p>
    <w:p w14:paraId="60BDBE40" w14:textId="7CE720FF"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w:t>
      </w:r>
      <w:r w:rsidR="0011101F">
        <w:rPr>
          <w:rFonts w:eastAsiaTheme="minorHAnsi"/>
        </w:rPr>
        <w:t xml:space="preserve"> </w:t>
      </w:r>
      <w:r w:rsidRPr="00146C6E">
        <w:rPr>
          <w:rFonts w:eastAsiaTheme="minorHAnsi"/>
        </w:rPr>
        <w:t>Providers are expected to exercise professional medical judgment in providing the most appropriate care, and are solely responsible for the medical advice and treatment of members.  This clinical policy is not intended to recommend treatment for members.</w:t>
      </w:r>
      <w:r w:rsidR="0011101F">
        <w:rPr>
          <w:rFonts w:eastAsiaTheme="minorHAnsi"/>
        </w:rPr>
        <w:t xml:space="preserve"> </w:t>
      </w:r>
      <w:r w:rsidRPr="00146C6E">
        <w:rPr>
          <w:rFonts w:eastAsiaTheme="minorHAnsi"/>
        </w:rPr>
        <w:t xml:space="preserve"> Members should consult with their treating physician in connection with diagnosis and treatment decisions. </w:t>
      </w:r>
    </w:p>
    <w:p w14:paraId="6A3875E3" w14:textId="77777777" w:rsidR="00DD6ADB" w:rsidRPr="00146C6E" w:rsidRDefault="00DD6ADB" w:rsidP="00146C6E">
      <w:pPr>
        <w:rPr>
          <w:rFonts w:eastAsiaTheme="minorHAnsi"/>
        </w:rPr>
      </w:pPr>
    </w:p>
    <w:p w14:paraId="130F811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54D86AAE" w14:textId="77777777" w:rsidR="00DD6ADB" w:rsidRPr="00146C6E" w:rsidRDefault="00DD6ADB" w:rsidP="00146C6E">
      <w:pPr>
        <w:rPr>
          <w:rFonts w:eastAsiaTheme="minorHAnsi"/>
        </w:rPr>
      </w:pPr>
    </w:p>
    <w:p w14:paraId="0D8183CF" w14:textId="252C6583"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w:t>
      </w:r>
      <w:r w:rsidR="0011101F">
        <w:rPr>
          <w:rFonts w:eastAsiaTheme="minorHAnsi"/>
        </w:rPr>
        <w:t xml:space="preserve"> </w:t>
      </w:r>
      <w:r w:rsidRPr="00146C6E">
        <w:rPr>
          <w:rFonts w:eastAsiaTheme="minorHAnsi"/>
        </w:rPr>
        <w:t xml:space="preserve">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CAA5392" w14:textId="77777777" w:rsidR="00DD6ADB" w:rsidRPr="00146C6E" w:rsidRDefault="00DD6ADB" w:rsidP="00146C6E">
      <w:pPr>
        <w:autoSpaceDE w:val="0"/>
        <w:autoSpaceDN w:val="0"/>
        <w:adjustRightInd w:val="0"/>
        <w:rPr>
          <w:rFonts w:eastAsiaTheme="minorHAnsi"/>
          <w:color w:val="000000"/>
        </w:rPr>
      </w:pPr>
    </w:p>
    <w:p w14:paraId="6D54EACB"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6DC05705" w14:textId="77777777" w:rsidR="00DD6ADB" w:rsidRPr="00146C6E" w:rsidRDefault="00DD6ADB" w:rsidP="00146C6E">
      <w:pPr>
        <w:rPr>
          <w:rFonts w:eastAsiaTheme="minorHAnsi"/>
        </w:rPr>
      </w:pPr>
    </w:p>
    <w:p w14:paraId="06D73C9A" w14:textId="325CADEA"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w:t>
      </w:r>
      <w:r w:rsidR="0011101F">
        <w:rPr>
          <w:rFonts w:eastAsiaTheme="minorHAnsi"/>
          <w:color w:val="000000"/>
        </w:rPr>
        <w:t xml:space="preserve"> </w:t>
      </w:r>
      <w:r w:rsidRPr="00146C6E">
        <w:rPr>
          <w:rFonts w:eastAsiaTheme="minorHAnsi"/>
          <w:color w:val="000000"/>
        </w:rPr>
        <w:t xml:space="preserve">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0A3C9513" w14:textId="77777777" w:rsidR="00875924" w:rsidRPr="00146C6E" w:rsidRDefault="00875924" w:rsidP="00146C6E">
      <w:pPr>
        <w:rPr>
          <w:iCs/>
        </w:rPr>
      </w:pPr>
    </w:p>
    <w:p w14:paraId="512FA50F" w14:textId="11EE304E" w:rsidR="00C75BD4" w:rsidRPr="00146C6E" w:rsidRDefault="00C75BD4" w:rsidP="00146C6E">
      <w:pPr>
        <w:rPr>
          <w:iCs/>
        </w:rPr>
      </w:pPr>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w:t>
      </w:r>
      <w:r w:rsidR="0011101F">
        <w:rPr>
          <w:iCs/>
        </w:rPr>
        <w:t xml:space="preserve"> </w:t>
      </w:r>
      <w:r w:rsidRPr="00146C6E">
        <w:rPr>
          <w:iCs/>
        </w:rPr>
        <w:t>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BDC2244"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1960" w14:textId="77777777" w:rsidR="00D66FD7" w:rsidRDefault="00D66FD7">
      <w:r>
        <w:separator/>
      </w:r>
    </w:p>
  </w:endnote>
  <w:endnote w:type="continuationSeparator" w:id="0">
    <w:p w14:paraId="086508A0" w14:textId="77777777" w:rsidR="00D66FD7" w:rsidRDefault="00D6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E740" w14:textId="4E7D1C14"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7335E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335ED">
      <w:rPr>
        <w:b/>
        <w:bCs/>
        <w:noProof/>
      </w:rPr>
      <w:t>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7D86" w14:textId="081CF210" w:rsidR="002C6AAB" w:rsidRDefault="002C6AAB" w:rsidP="002C6AAB">
    <w:pPr>
      <w:pStyle w:val="Footer"/>
      <w:jc w:val="center"/>
    </w:pPr>
    <w:r>
      <w:t xml:space="preserve">Page </w:t>
    </w:r>
    <w:r>
      <w:fldChar w:fldCharType="begin"/>
    </w:r>
    <w:r>
      <w:instrText xml:space="preserve"> PAGE   \* MERGEFORMAT </w:instrText>
    </w:r>
    <w:r>
      <w:fldChar w:fldCharType="separate"/>
    </w:r>
    <w:r w:rsidR="007335ED">
      <w:rPr>
        <w:noProof/>
      </w:rPr>
      <w:t>1</w:t>
    </w:r>
    <w:r>
      <w:fldChar w:fldCharType="end"/>
    </w:r>
    <w:r>
      <w:t xml:space="preserve"> of </w:t>
    </w:r>
    <w:r w:rsidR="008C6297">
      <w:rPr>
        <w:noProof/>
      </w:rPr>
      <w:fldChar w:fldCharType="begin"/>
    </w:r>
    <w:r w:rsidR="008C6297">
      <w:rPr>
        <w:noProof/>
      </w:rPr>
      <w:instrText xml:space="preserve"> NUMPAGES   \* MERGEFORMAT </w:instrText>
    </w:r>
    <w:r w:rsidR="008C6297">
      <w:rPr>
        <w:noProof/>
      </w:rPr>
      <w:fldChar w:fldCharType="separate"/>
    </w:r>
    <w:r w:rsidR="007335ED">
      <w:rPr>
        <w:noProof/>
      </w:rPr>
      <w:t>7</w:t>
    </w:r>
    <w:r w:rsidR="008C62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CE805" w14:textId="77777777" w:rsidR="00D66FD7" w:rsidRDefault="00D66FD7">
      <w:r>
        <w:separator/>
      </w:r>
    </w:p>
  </w:footnote>
  <w:footnote w:type="continuationSeparator" w:id="0">
    <w:p w14:paraId="67B76DFE" w14:textId="77777777" w:rsidR="00D66FD7" w:rsidRDefault="00D6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99F8"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0DE79E74" wp14:editId="09B68762">
          <wp:extent cx="914400" cy="238125"/>
          <wp:effectExtent l="0" t="0" r="0" b="9525"/>
          <wp:docPr id="5"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4CB9A991" w14:textId="77777777" w:rsidR="00DD025A" w:rsidRPr="00B777AF" w:rsidRDefault="00D90B43" w:rsidP="00B777AF">
    <w:pPr>
      <w:rPr>
        <w:color w:val="00548C"/>
      </w:rPr>
    </w:pPr>
    <w:r>
      <w:rPr>
        <w:rFonts w:ascii="Times New Roman Bold" w:hAnsi="Times New Roman Bold"/>
        <w:b/>
        <w:bCs/>
        <w:color w:val="00548C"/>
      </w:rPr>
      <w:t>Heart-Lung Transplant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16E3" w14:textId="77777777" w:rsidR="009135E0" w:rsidRDefault="00A20F73" w:rsidP="00B777AF">
    <w:pPr>
      <w:pStyle w:val="Header"/>
      <w:jc w:val="right"/>
    </w:pPr>
    <w:r>
      <w:rPr>
        <w:noProof/>
      </w:rPr>
      <w:drawing>
        <wp:inline distT="0" distB="0" distL="0" distR="0" wp14:anchorId="3A7479C4" wp14:editId="217032C4">
          <wp:extent cx="1371600" cy="352425"/>
          <wp:effectExtent l="0" t="0" r="0" b="9525"/>
          <wp:docPr id="6" name="Picture 6"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512080"/>
    <w:multiLevelType w:val="hybridMultilevel"/>
    <w:tmpl w:val="275671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61E8"/>
    <w:multiLevelType w:val="hybridMultilevel"/>
    <w:tmpl w:val="8C9CC88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235BF"/>
    <w:multiLevelType w:val="hybridMultilevel"/>
    <w:tmpl w:val="AA065A44"/>
    <w:lvl w:ilvl="0" w:tplc="04090015">
      <w:start w:val="1"/>
      <w:numFmt w:val="upperLetter"/>
      <w:lvlText w:val="%1."/>
      <w:lvlJc w:val="left"/>
      <w:pPr>
        <w:ind w:left="720" w:hanging="360"/>
      </w:pPr>
    </w:lvl>
    <w:lvl w:ilvl="1" w:tplc="46FA39E0">
      <w:start w:val="1"/>
      <w:numFmt w:val="decimal"/>
      <w:lvlText w:val="%2."/>
      <w:lvlJc w:val="left"/>
      <w:pPr>
        <w:ind w:left="1260" w:hanging="360"/>
      </w:pPr>
      <w:rPr>
        <w:rFonts w:ascii="Times New Roman" w:eastAsia="Times New Roman" w:hAnsi="Times New Roman" w:cs="Times New Roman"/>
      </w:rPr>
    </w:lvl>
    <w:lvl w:ilvl="2" w:tplc="04090019">
      <w:start w:val="1"/>
      <w:numFmt w:val="lowerLetter"/>
      <w:lvlText w:val="%3."/>
      <w:lvlJc w:val="left"/>
      <w:pPr>
        <w:ind w:left="99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A0CB2"/>
    <w:multiLevelType w:val="hybridMultilevel"/>
    <w:tmpl w:val="50D2E5D0"/>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1790C"/>
    <w:multiLevelType w:val="hybridMultilevel"/>
    <w:tmpl w:val="381E29D8"/>
    <w:lvl w:ilvl="0" w:tplc="6BAC0802">
      <w:start w:val="1"/>
      <w:numFmt w:val="upperRoman"/>
      <w:lvlText w:val="%1."/>
      <w:lvlJc w:val="left"/>
      <w:pPr>
        <w:ind w:left="720" w:hanging="360"/>
      </w:pPr>
      <w:rPr>
        <w:rFonts w:hint="default"/>
        <w:b/>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8B1A41"/>
    <w:multiLevelType w:val="hybridMultilevel"/>
    <w:tmpl w:val="C08E9CA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A4902"/>
    <w:multiLevelType w:val="hybridMultilevel"/>
    <w:tmpl w:val="99DE6A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4590" w:hanging="360"/>
      </w:pPr>
    </w:lvl>
    <w:lvl w:ilvl="2" w:tplc="0409000F">
      <w:start w:val="1"/>
      <w:numFmt w:val="decimal"/>
      <w:lvlText w:val="%3."/>
      <w:lvlJc w:val="left"/>
      <w:pPr>
        <w:ind w:left="18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9"/>
  </w:num>
  <w:num w:numId="4">
    <w:abstractNumId w:val="13"/>
  </w:num>
  <w:num w:numId="5">
    <w:abstractNumId w:val="14"/>
  </w:num>
  <w:num w:numId="6">
    <w:abstractNumId w:val="22"/>
  </w:num>
  <w:num w:numId="7">
    <w:abstractNumId w:val="23"/>
  </w:num>
  <w:num w:numId="8">
    <w:abstractNumId w:val="1"/>
  </w:num>
  <w:num w:numId="9">
    <w:abstractNumId w:val="18"/>
  </w:num>
  <w:num w:numId="10">
    <w:abstractNumId w:val="7"/>
  </w:num>
  <w:num w:numId="11">
    <w:abstractNumId w:val="25"/>
  </w:num>
  <w:num w:numId="12">
    <w:abstractNumId w:val="12"/>
  </w:num>
  <w:num w:numId="13">
    <w:abstractNumId w:val="11"/>
  </w:num>
  <w:num w:numId="14">
    <w:abstractNumId w:val="4"/>
  </w:num>
  <w:num w:numId="15">
    <w:abstractNumId w:val="8"/>
  </w:num>
  <w:num w:numId="16">
    <w:abstractNumId w:val="24"/>
  </w:num>
  <w:num w:numId="17">
    <w:abstractNumId w:val="19"/>
  </w:num>
  <w:num w:numId="18">
    <w:abstractNumId w:val="16"/>
  </w:num>
  <w:num w:numId="19">
    <w:abstractNumId w:val="6"/>
  </w:num>
  <w:num w:numId="20">
    <w:abstractNumId w:val="2"/>
  </w:num>
  <w:num w:numId="21">
    <w:abstractNumId w:val="20"/>
  </w:num>
  <w:num w:numId="22">
    <w:abstractNumId w:val="21"/>
  </w:num>
  <w:num w:numId="23">
    <w:abstractNumId w:val="10"/>
  </w:num>
  <w:num w:numId="24">
    <w:abstractNumId w:val="17"/>
  </w:num>
  <w:num w:numId="25">
    <w:abstractNumId w:val="15"/>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75E3B"/>
    <w:rsid w:val="00083740"/>
    <w:rsid w:val="00094136"/>
    <w:rsid w:val="000B78FA"/>
    <w:rsid w:val="000F10C2"/>
    <w:rsid w:val="0011101F"/>
    <w:rsid w:val="001148A8"/>
    <w:rsid w:val="00131CD3"/>
    <w:rsid w:val="00140F0C"/>
    <w:rsid w:val="0014316D"/>
    <w:rsid w:val="00146C6E"/>
    <w:rsid w:val="0015533A"/>
    <w:rsid w:val="00157645"/>
    <w:rsid w:val="00170B14"/>
    <w:rsid w:val="001724ED"/>
    <w:rsid w:val="001818D7"/>
    <w:rsid w:val="00185104"/>
    <w:rsid w:val="00194187"/>
    <w:rsid w:val="001962BE"/>
    <w:rsid w:val="00196689"/>
    <w:rsid w:val="00196935"/>
    <w:rsid w:val="0019746F"/>
    <w:rsid w:val="001D0D34"/>
    <w:rsid w:val="001D2624"/>
    <w:rsid w:val="001D70D4"/>
    <w:rsid w:val="001E7D12"/>
    <w:rsid w:val="0020675F"/>
    <w:rsid w:val="00220736"/>
    <w:rsid w:val="00230FE4"/>
    <w:rsid w:val="00233651"/>
    <w:rsid w:val="0023495F"/>
    <w:rsid w:val="00254020"/>
    <w:rsid w:val="00254501"/>
    <w:rsid w:val="0025452A"/>
    <w:rsid w:val="002676EE"/>
    <w:rsid w:val="00281CAB"/>
    <w:rsid w:val="00285997"/>
    <w:rsid w:val="002874EA"/>
    <w:rsid w:val="0029438C"/>
    <w:rsid w:val="0029534E"/>
    <w:rsid w:val="002A0875"/>
    <w:rsid w:val="002A39EE"/>
    <w:rsid w:val="002B0582"/>
    <w:rsid w:val="002C6AAB"/>
    <w:rsid w:val="002D019A"/>
    <w:rsid w:val="002D4D93"/>
    <w:rsid w:val="002D63DD"/>
    <w:rsid w:val="002E48E7"/>
    <w:rsid w:val="002E5306"/>
    <w:rsid w:val="002F1064"/>
    <w:rsid w:val="002F681A"/>
    <w:rsid w:val="003140D6"/>
    <w:rsid w:val="0033037A"/>
    <w:rsid w:val="003319AE"/>
    <w:rsid w:val="00336E37"/>
    <w:rsid w:val="00345D45"/>
    <w:rsid w:val="00350F22"/>
    <w:rsid w:val="003524B6"/>
    <w:rsid w:val="00375684"/>
    <w:rsid w:val="003840CC"/>
    <w:rsid w:val="003D4378"/>
    <w:rsid w:val="003D7BE7"/>
    <w:rsid w:val="003F2952"/>
    <w:rsid w:val="003F3D44"/>
    <w:rsid w:val="00400D58"/>
    <w:rsid w:val="00435D92"/>
    <w:rsid w:val="004371B0"/>
    <w:rsid w:val="0044133F"/>
    <w:rsid w:val="00463067"/>
    <w:rsid w:val="00472C6C"/>
    <w:rsid w:val="00480C09"/>
    <w:rsid w:val="00483B17"/>
    <w:rsid w:val="00493710"/>
    <w:rsid w:val="00496BCF"/>
    <w:rsid w:val="00497AED"/>
    <w:rsid w:val="004C5ED9"/>
    <w:rsid w:val="004E0B99"/>
    <w:rsid w:val="004F33F9"/>
    <w:rsid w:val="004F6394"/>
    <w:rsid w:val="004F7F42"/>
    <w:rsid w:val="00505830"/>
    <w:rsid w:val="005103B8"/>
    <w:rsid w:val="005423D4"/>
    <w:rsid w:val="005454E5"/>
    <w:rsid w:val="005537B0"/>
    <w:rsid w:val="005548AE"/>
    <w:rsid w:val="00560174"/>
    <w:rsid w:val="005776FD"/>
    <w:rsid w:val="00583376"/>
    <w:rsid w:val="00583648"/>
    <w:rsid w:val="005847C2"/>
    <w:rsid w:val="005C17DF"/>
    <w:rsid w:val="005C3607"/>
    <w:rsid w:val="005D009F"/>
    <w:rsid w:val="005D0F00"/>
    <w:rsid w:val="005D4A23"/>
    <w:rsid w:val="005D5146"/>
    <w:rsid w:val="005D7B81"/>
    <w:rsid w:val="005E411E"/>
    <w:rsid w:val="005F051C"/>
    <w:rsid w:val="006474BB"/>
    <w:rsid w:val="006664E9"/>
    <w:rsid w:val="00673151"/>
    <w:rsid w:val="00692A0B"/>
    <w:rsid w:val="006945A4"/>
    <w:rsid w:val="006C74DF"/>
    <w:rsid w:val="006D7DE0"/>
    <w:rsid w:val="006F4D70"/>
    <w:rsid w:val="00713CA9"/>
    <w:rsid w:val="007163E2"/>
    <w:rsid w:val="007335ED"/>
    <w:rsid w:val="00744250"/>
    <w:rsid w:val="007764CE"/>
    <w:rsid w:val="00786725"/>
    <w:rsid w:val="00791A99"/>
    <w:rsid w:val="007A0BCC"/>
    <w:rsid w:val="007B07AE"/>
    <w:rsid w:val="007B50D0"/>
    <w:rsid w:val="007B5950"/>
    <w:rsid w:val="007D0710"/>
    <w:rsid w:val="007D15C0"/>
    <w:rsid w:val="007D3037"/>
    <w:rsid w:val="007D4801"/>
    <w:rsid w:val="007D7794"/>
    <w:rsid w:val="007F1F19"/>
    <w:rsid w:val="00850C3D"/>
    <w:rsid w:val="00857C10"/>
    <w:rsid w:val="00875924"/>
    <w:rsid w:val="00877EC7"/>
    <w:rsid w:val="00884DF5"/>
    <w:rsid w:val="00886C62"/>
    <w:rsid w:val="0088749D"/>
    <w:rsid w:val="00896E94"/>
    <w:rsid w:val="008B0705"/>
    <w:rsid w:val="008B1237"/>
    <w:rsid w:val="008C6297"/>
    <w:rsid w:val="008C6B3A"/>
    <w:rsid w:val="008C71B0"/>
    <w:rsid w:val="0090265C"/>
    <w:rsid w:val="00902C9B"/>
    <w:rsid w:val="009079D4"/>
    <w:rsid w:val="009127D0"/>
    <w:rsid w:val="009135E0"/>
    <w:rsid w:val="00915CA4"/>
    <w:rsid w:val="00934067"/>
    <w:rsid w:val="00935CFB"/>
    <w:rsid w:val="00950820"/>
    <w:rsid w:val="00961071"/>
    <w:rsid w:val="00963062"/>
    <w:rsid w:val="00966B91"/>
    <w:rsid w:val="009735FA"/>
    <w:rsid w:val="00977ECA"/>
    <w:rsid w:val="00982180"/>
    <w:rsid w:val="009928B2"/>
    <w:rsid w:val="009B0224"/>
    <w:rsid w:val="009C61B2"/>
    <w:rsid w:val="009D5928"/>
    <w:rsid w:val="009E107B"/>
    <w:rsid w:val="009E246B"/>
    <w:rsid w:val="009E255E"/>
    <w:rsid w:val="009E6F29"/>
    <w:rsid w:val="009F06C3"/>
    <w:rsid w:val="009F6605"/>
    <w:rsid w:val="00A14EDB"/>
    <w:rsid w:val="00A17518"/>
    <w:rsid w:val="00A20F73"/>
    <w:rsid w:val="00A41969"/>
    <w:rsid w:val="00A5165C"/>
    <w:rsid w:val="00A60413"/>
    <w:rsid w:val="00A83658"/>
    <w:rsid w:val="00A85489"/>
    <w:rsid w:val="00A87B1F"/>
    <w:rsid w:val="00A91BFC"/>
    <w:rsid w:val="00A96E90"/>
    <w:rsid w:val="00AA336E"/>
    <w:rsid w:val="00AA428E"/>
    <w:rsid w:val="00AA7B88"/>
    <w:rsid w:val="00AC47EA"/>
    <w:rsid w:val="00AD1AA6"/>
    <w:rsid w:val="00AE3D06"/>
    <w:rsid w:val="00AF1F2A"/>
    <w:rsid w:val="00AF30EF"/>
    <w:rsid w:val="00AF5490"/>
    <w:rsid w:val="00AF74C2"/>
    <w:rsid w:val="00B303A2"/>
    <w:rsid w:val="00B40827"/>
    <w:rsid w:val="00B4633B"/>
    <w:rsid w:val="00B50942"/>
    <w:rsid w:val="00B555A7"/>
    <w:rsid w:val="00B66066"/>
    <w:rsid w:val="00B777AF"/>
    <w:rsid w:val="00B81789"/>
    <w:rsid w:val="00B92DF1"/>
    <w:rsid w:val="00BE670D"/>
    <w:rsid w:val="00BF4150"/>
    <w:rsid w:val="00C01AA6"/>
    <w:rsid w:val="00C06257"/>
    <w:rsid w:val="00C079B0"/>
    <w:rsid w:val="00C14250"/>
    <w:rsid w:val="00C2297C"/>
    <w:rsid w:val="00C24C1B"/>
    <w:rsid w:val="00C366EC"/>
    <w:rsid w:val="00C4766C"/>
    <w:rsid w:val="00C52774"/>
    <w:rsid w:val="00C571DB"/>
    <w:rsid w:val="00C64BB4"/>
    <w:rsid w:val="00C73CF5"/>
    <w:rsid w:val="00C75BD4"/>
    <w:rsid w:val="00C91EEB"/>
    <w:rsid w:val="00C96847"/>
    <w:rsid w:val="00CA53B9"/>
    <w:rsid w:val="00CA5C08"/>
    <w:rsid w:val="00CF2624"/>
    <w:rsid w:val="00D2565C"/>
    <w:rsid w:val="00D3308E"/>
    <w:rsid w:val="00D33DCB"/>
    <w:rsid w:val="00D35CCD"/>
    <w:rsid w:val="00D36448"/>
    <w:rsid w:val="00D52F1A"/>
    <w:rsid w:val="00D574CA"/>
    <w:rsid w:val="00D66FD7"/>
    <w:rsid w:val="00D71BC4"/>
    <w:rsid w:val="00D7331B"/>
    <w:rsid w:val="00D83254"/>
    <w:rsid w:val="00D90B43"/>
    <w:rsid w:val="00D94A8E"/>
    <w:rsid w:val="00DB1DE9"/>
    <w:rsid w:val="00DB7073"/>
    <w:rsid w:val="00DD025A"/>
    <w:rsid w:val="00DD578C"/>
    <w:rsid w:val="00DD6ADB"/>
    <w:rsid w:val="00DD7D7A"/>
    <w:rsid w:val="00DE18E2"/>
    <w:rsid w:val="00DE55BC"/>
    <w:rsid w:val="00DF5471"/>
    <w:rsid w:val="00E079AB"/>
    <w:rsid w:val="00E11ED1"/>
    <w:rsid w:val="00E41F6E"/>
    <w:rsid w:val="00E51500"/>
    <w:rsid w:val="00E52265"/>
    <w:rsid w:val="00E60E8E"/>
    <w:rsid w:val="00E66CD7"/>
    <w:rsid w:val="00E77EF5"/>
    <w:rsid w:val="00E80E7C"/>
    <w:rsid w:val="00E97C17"/>
    <w:rsid w:val="00EA3809"/>
    <w:rsid w:val="00EB2B65"/>
    <w:rsid w:val="00ED0A0D"/>
    <w:rsid w:val="00F03DC0"/>
    <w:rsid w:val="00F161DD"/>
    <w:rsid w:val="00F2705D"/>
    <w:rsid w:val="00F31F52"/>
    <w:rsid w:val="00F337C4"/>
    <w:rsid w:val="00F422E1"/>
    <w:rsid w:val="00F67BBD"/>
    <w:rsid w:val="00F71F8E"/>
    <w:rsid w:val="00F74762"/>
    <w:rsid w:val="00F75596"/>
    <w:rsid w:val="00F95133"/>
    <w:rsid w:val="00F95EF3"/>
    <w:rsid w:val="00F9704E"/>
    <w:rsid w:val="00FB0592"/>
    <w:rsid w:val="00FB139B"/>
    <w:rsid w:val="00FB3C87"/>
    <w:rsid w:val="00FB6628"/>
    <w:rsid w:val="00FE05DC"/>
    <w:rsid w:val="00FE290A"/>
    <w:rsid w:val="00FE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246462E"/>
  <w15:docId w15:val="{EE5CE1CC-604C-4B22-9B5A-17D1C8CC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table" w:styleId="ListTable3-Accent1">
    <w:name w:val="List Table 3 Accent 1"/>
    <w:basedOn w:val="TableNormal"/>
    <w:uiPriority w:val="48"/>
    <w:rsid w:val="00884D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E66CD7"/>
  </w:style>
  <w:style w:type="paragraph" w:styleId="Revision">
    <w:name w:val="Revision"/>
    <w:hidden/>
    <w:uiPriority w:val="99"/>
    <w:semiHidden/>
    <w:rsid w:val="00D33DCB"/>
    <w:rPr>
      <w:sz w:val="24"/>
      <w:szCs w:val="24"/>
    </w:rPr>
  </w:style>
  <w:style w:type="character" w:customStyle="1" w:styleId="h33">
    <w:name w:val="h33"/>
    <w:basedOn w:val="DefaultParagraphFont"/>
    <w:rsid w:val="005D0F00"/>
    <w:rPr>
      <w:b/>
      <w:bCs/>
    </w:rPr>
  </w:style>
  <w:style w:type="character" w:customStyle="1" w:styleId="headingendmark">
    <w:name w:val="headingendmark"/>
    <w:basedOn w:val="DefaultParagraphFont"/>
    <w:rsid w:val="005D0F00"/>
  </w:style>
  <w:style w:type="paragraph" w:styleId="FootnoteText">
    <w:name w:val="footnote text"/>
    <w:basedOn w:val="Normal"/>
    <w:link w:val="FootnoteTextChar"/>
    <w:semiHidden/>
    <w:unhideWhenUsed/>
    <w:rsid w:val="00AF74C2"/>
    <w:rPr>
      <w:sz w:val="20"/>
      <w:szCs w:val="20"/>
    </w:rPr>
  </w:style>
  <w:style w:type="character" w:customStyle="1" w:styleId="FootnoteTextChar">
    <w:name w:val="Footnote Text Char"/>
    <w:basedOn w:val="DefaultParagraphFont"/>
    <w:link w:val="FootnoteText"/>
    <w:semiHidden/>
    <w:rsid w:val="00AF74C2"/>
  </w:style>
  <w:style w:type="character" w:styleId="FootnoteReference">
    <w:name w:val="footnote reference"/>
    <w:basedOn w:val="DefaultParagraphFont"/>
    <w:semiHidden/>
    <w:unhideWhenUsed/>
    <w:rsid w:val="00AF7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2797">
      <w:bodyDiv w:val="1"/>
      <w:marLeft w:val="0"/>
      <w:marRight w:val="0"/>
      <w:marTop w:val="0"/>
      <w:marBottom w:val="0"/>
      <w:divBdr>
        <w:top w:val="none" w:sz="0" w:space="0" w:color="auto"/>
        <w:left w:val="none" w:sz="0" w:space="0" w:color="auto"/>
        <w:bottom w:val="none" w:sz="0" w:space="0" w:color="auto"/>
        <w:right w:val="none" w:sz="0" w:space="0" w:color="auto"/>
      </w:divBdr>
      <w:divsChild>
        <w:div w:id="1338382988">
          <w:marLeft w:val="0"/>
          <w:marRight w:val="0"/>
          <w:marTop w:val="0"/>
          <w:marBottom w:val="0"/>
          <w:divBdr>
            <w:top w:val="none" w:sz="0" w:space="0" w:color="auto"/>
            <w:left w:val="none" w:sz="0" w:space="0" w:color="auto"/>
            <w:bottom w:val="none" w:sz="0" w:space="0" w:color="auto"/>
            <w:right w:val="none" w:sz="0" w:space="0" w:color="auto"/>
          </w:divBdr>
          <w:divsChild>
            <w:div w:id="230389920">
              <w:marLeft w:val="0"/>
              <w:marRight w:val="0"/>
              <w:marTop w:val="0"/>
              <w:marBottom w:val="0"/>
              <w:divBdr>
                <w:top w:val="none" w:sz="0" w:space="0" w:color="auto"/>
                <w:left w:val="none" w:sz="0" w:space="0" w:color="auto"/>
                <w:bottom w:val="none" w:sz="0" w:space="0" w:color="auto"/>
                <w:right w:val="none" w:sz="0" w:space="0" w:color="auto"/>
              </w:divBdr>
              <w:divsChild>
                <w:div w:id="379138295">
                  <w:marLeft w:val="-225"/>
                  <w:marRight w:val="-225"/>
                  <w:marTop w:val="0"/>
                  <w:marBottom w:val="0"/>
                  <w:divBdr>
                    <w:top w:val="none" w:sz="0" w:space="0" w:color="auto"/>
                    <w:left w:val="none" w:sz="0" w:space="0" w:color="auto"/>
                    <w:bottom w:val="none" w:sz="0" w:space="0" w:color="auto"/>
                    <w:right w:val="none" w:sz="0" w:space="0" w:color="auto"/>
                  </w:divBdr>
                  <w:divsChild>
                    <w:div w:id="1396781727">
                      <w:marLeft w:val="0"/>
                      <w:marRight w:val="0"/>
                      <w:marTop w:val="0"/>
                      <w:marBottom w:val="0"/>
                      <w:divBdr>
                        <w:top w:val="none" w:sz="0" w:space="0" w:color="auto"/>
                        <w:left w:val="none" w:sz="0" w:space="0" w:color="auto"/>
                        <w:bottom w:val="none" w:sz="0" w:space="0" w:color="auto"/>
                        <w:right w:val="none" w:sz="0" w:space="0" w:color="auto"/>
                      </w:divBdr>
                      <w:divsChild>
                        <w:div w:id="1202790811">
                          <w:marLeft w:val="0"/>
                          <w:marRight w:val="0"/>
                          <w:marTop w:val="0"/>
                          <w:marBottom w:val="0"/>
                          <w:divBdr>
                            <w:top w:val="none" w:sz="0" w:space="0" w:color="auto"/>
                            <w:left w:val="none" w:sz="0" w:space="0" w:color="auto"/>
                            <w:bottom w:val="none" w:sz="0" w:space="0" w:color="auto"/>
                            <w:right w:val="none" w:sz="0" w:space="0" w:color="auto"/>
                          </w:divBdr>
                          <w:divsChild>
                            <w:div w:id="7259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915E-EAEA-4577-8075-AA69410650A3}">
  <ds:schemaRefs>
    <ds:schemaRef ds:uri="http://schemas.microsoft.com/sharepoint/v3/contenttype/forms"/>
  </ds:schemaRefs>
</ds:datastoreItem>
</file>

<file path=customXml/itemProps2.xml><?xml version="1.0" encoding="utf-8"?>
<ds:datastoreItem xmlns:ds="http://schemas.openxmlformats.org/officeDocument/2006/customXml" ds:itemID="{EC3E1F44-5513-4357-A413-193B9400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6B2C1-4B03-4146-AC2A-EFB9F334145C}">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83A2D76-601D-4A7E-B0BB-4E469F0E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2019-03-25T18:33:00Z</cp:lastPrinted>
  <dcterms:created xsi:type="dcterms:W3CDTF">2019-04-25T16:41:00Z</dcterms:created>
  <dcterms:modified xsi:type="dcterms:W3CDTF">2019-04-25T16:41:00Z</dcterms:modified>
</cp:coreProperties>
</file>