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4CA" w:rsidRPr="0044693C" w:rsidRDefault="00A70E13" w:rsidP="00D574CA">
      <w:pPr>
        <w:pStyle w:val="PolicyMainHead"/>
        <w:tabs>
          <w:tab w:val="left" w:pos="360"/>
        </w:tabs>
        <w:spacing w:after="0" w:line="240" w:lineRule="auto"/>
        <w:rPr>
          <w:rFonts w:ascii="Times New Roman" w:hAnsi="Times New Roman"/>
          <w:color w:val="00548C"/>
          <w:sz w:val="36"/>
        </w:rPr>
      </w:pPr>
      <w:r w:rsidRPr="0044693C">
        <w:rPr>
          <w:rFonts w:ascii="Times New Roman" w:hAnsi="Times New Roman"/>
          <w:color w:val="00548C"/>
          <w:sz w:val="36"/>
        </w:rPr>
        <w:t>Payment</w:t>
      </w:r>
      <w:r w:rsidR="00230FE4" w:rsidRPr="0044693C">
        <w:rPr>
          <w:rFonts w:ascii="Times New Roman" w:hAnsi="Times New Roman"/>
          <w:color w:val="00548C"/>
          <w:sz w:val="36"/>
        </w:rPr>
        <w:t xml:space="preserve"> Policy: </w:t>
      </w:r>
      <w:r w:rsidR="00315E7E">
        <w:rPr>
          <w:rFonts w:ascii="Times New Roman" w:hAnsi="Times New Roman"/>
          <w:color w:val="00548C"/>
          <w:sz w:val="36"/>
        </w:rPr>
        <w:t>Inpatient Only Procedures</w:t>
      </w:r>
    </w:p>
    <w:p w:rsidR="00B777AF" w:rsidRPr="00983688" w:rsidRDefault="00B777AF" w:rsidP="00D574CA">
      <w:pPr>
        <w:pStyle w:val="PolicyMainHead"/>
        <w:tabs>
          <w:tab w:val="left" w:pos="360"/>
        </w:tabs>
        <w:spacing w:after="0" w:line="240" w:lineRule="auto"/>
        <w:rPr>
          <w:rFonts w:ascii="Times New Roman" w:hAnsi="Times New Roman"/>
          <w:color w:val="00548C"/>
          <w:sz w:val="24"/>
        </w:rPr>
        <w:sectPr w:rsidR="00B777AF" w:rsidRPr="00983688" w:rsidSect="00B777AF">
          <w:headerReference w:type="default" r:id="rId10"/>
          <w:footerReference w:type="default" r:id="rId11"/>
          <w:headerReference w:type="first" r:id="rId12"/>
          <w:footerReference w:type="first" r:id="rId13"/>
          <w:pgSz w:w="12240" w:h="15840" w:code="1"/>
          <w:pgMar w:top="1440" w:right="907" w:bottom="1152" w:left="1440" w:header="576" w:footer="288" w:gutter="0"/>
          <w:cols w:space="720"/>
          <w:titlePg/>
          <w:docGrid w:linePitch="360"/>
        </w:sectPr>
      </w:pPr>
    </w:p>
    <w:p w:rsidR="00A70E13" w:rsidRPr="0044693C" w:rsidRDefault="00A70E13" w:rsidP="00480C09">
      <w:pPr>
        <w:pStyle w:val="PolicyMainHead"/>
        <w:spacing w:after="0" w:line="240" w:lineRule="auto"/>
        <w:ind w:left="360"/>
        <w:rPr>
          <w:rFonts w:ascii="Times New Roman" w:hAnsi="Times New Roman"/>
          <w:color w:val="00548C"/>
          <w:sz w:val="24"/>
          <w:szCs w:val="24"/>
        </w:rPr>
      </w:pPr>
      <w:r w:rsidRPr="0044693C">
        <w:rPr>
          <w:rFonts w:ascii="Times New Roman" w:hAnsi="Times New Roman"/>
          <w:color w:val="00548C"/>
          <w:sz w:val="24"/>
          <w:szCs w:val="24"/>
        </w:rPr>
        <w:t>Reference Number: CC.PP</w:t>
      </w:r>
      <w:r w:rsidR="00C96847" w:rsidRPr="0044693C">
        <w:rPr>
          <w:rFonts w:ascii="Times New Roman" w:hAnsi="Times New Roman"/>
          <w:color w:val="00548C"/>
          <w:sz w:val="24"/>
          <w:szCs w:val="24"/>
        </w:rPr>
        <w:t>.</w:t>
      </w:r>
      <w:r w:rsidR="00315E7E">
        <w:rPr>
          <w:rFonts w:ascii="Times New Roman" w:hAnsi="Times New Roman"/>
          <w:color w:val="00548C"/>
          <w:sz w:val="24"/>
          <w:szCs w:val="24"/>
        </w:rPr>
        <w:t>018</w:t>
      </w:r>
    </w:p>
    <w:p w:rsidR="00B777AF" w:rsidRPr="0044693C" w:rsidRDefault="00B777AF" w:rsidP="00480C09">
      <w:pPr>
        <w:pStyle w:val="PolicyMainHead"/>
        <w:spacing w:after="0" w:line="240" w:lineRule="auto"/>
        <w:ind w:left="360"/>
        <w:rPr>
          <w:rFonts w:ascii="Times New Roman" w:hAnsi="Times New Roman"/>
          <w:color w:val="00548C"/>
          <w:sz w:val="24"/>
          <w:szCs w:val="24"/>
        </w:rPr>
        <w:sectPr w:rsidR="00B777AF" w:rsidRPr="0044693C" w:rsidSect="00480C09">
          <w:type w:val="continuous"/>
          <w:pgSz w:w="12240" w:h="15840" w:code="1"/>
          <w:pgMar w:top="1440" w:right="1080" w:bottom="1440" w:left="1080" w:header="576" w:footer="288" w:gutter="0"/>
          <w:cols w:num="2" w:space="720"/>
          <w:titlePg/>
          <w:docGrid w:linePitch="360"/>
        </w:sectPr>
      </w:pPr>
      <w:r w:rsidRPr="0044693C">
        <w:rPr>
          <w:rFonts w:ascii="Times New Roman" w:hAnsi="Times New Roman"/>
          <w:color w:val="00548C"/>
          <w:sz w:val="24"/>
          <w:szCs w:val="24"/>
        </w:rPr>
        <w:tab/>
      </w:r>
      <w:r w:rsidRPr="0044693C">
        <w:rPr>
          <w:rFonts w:ascii="Times New Roman" w:hAnsi="Times New Roman"/>
          <w:color w:val="00548C"/>
          <w:sz w:val="24"/>
          <w:szCs w:val="24"/>
        </w:rPr>
        <w:tab/>
      </w:r>
      <w:r w:rsidRPr="0044693C">
        <w:rPr>
          <w:rFonts w:ascii="Times New Roman" w:hAnsi="Times New Roman"/>
          <w:color w:val="00548C"/>
          <w:sz w:val="24"/>
          <w:szCs w:val="24"/>
        </w:rPr>
        <w:tab/>
      </w:r>
      <w:r w:rsidRPr="0044693C">
        <w:rPr>
          <w:rFonts w:ascii="Times New Roman" w:hAnsi="Times New Roman"/>
          <w:color w:val="00548C"/>
          <w:sz w:val="24"/>
          <w:szCs w:val="24"/>
        </w:rPr>
        <w:tab/>
      </w:r>
      <w:r w:rsidRPr="0044693C">
        <w:rPr>
          <w:rFonts w:ascii="Times New Roman" w:hAnsi="Times New Roman"/>
          <w:color w:val="00548C"/>
          <w:sz w:val="24"/>
          <w:szCs w:val="24"/>
        </w:rPr>
        <w:tab/>
      </w:r>
      <w:r w:rsidRPr="0044693C">
        <w:rPr>
          <w:rFonts w:ascii="Times New Roman" w:hAnsi="Times New Roman"/>
          <w:color w:val="00548C"/>
          <w:sz w:val="24"/>
          <w:szCs w:val="24"/>
        </w:rPr>
        <w:tab/>
      </w:r>
    </w:p>
    <w:p w:rsidR="00A70E13" w:rsidRPr="0044693C" w:rsidRDefault="00A70E13" w:rsidP="00D574CA">
      <w:pPr>
        <w:pStyle w:val="PolicyMainHead"/>
        <w:tabs>
          <w:tab w:val="left" w:pos="360"/>
        </w:tabs>
        <w:spacing w:after="0" w:line="240" w:lineRule="auto"/>
        <w:rPr>
          <w:rFonts w:ascii="Times New Roman" w:hAnsi="Times New Roman"/>
          <w:color w:val="00548C"/>
          <w:sz w:val="24"/>
          <w:szCs w:val="24"/>
        </w:rPr>
      </w:pPr>
      <w:r w:rsidRPr="0044693C">
        <w:rPr>
          <w:rFonts w:ascii="Times New Roman" w:hAnsi="Times New Roman"/>
          <w:color w:val="00548C"/>
          <w:sz w:val="24"/>
          <w:szCs w:val="24"/>
        </w:rPr>
        <w:t xml:space="preserve">Product Types: </w:t>
      </w:r>
      <w:r w:rsidR="00F30E8E">
        <w:rPr>
          <w:rFonts w:ascii="Times New Roman" w:hAnsi="Times New Roman"/>
          <w:color w:val="00548C"/>
          <w:sz w:val="24"/>
          <w:szCs w:val="24"/>
        </w:rPr>
        <w:t>Medicare and Medicaid</w:t>
      </w:r>
    </w:p>
    <w:p w:rsidR="00480C09" w:rsidRPr="0044693C" w:rsidRDefault="00C96847" w:rsidP="00D574CA">
      <w:pPr>
        <w:pStyle w:val="PolicyMainHead"/>
        <w:tabs>
          <w:tab w:val="left" w:pos="360"/>
        </w:tabs>
        <w:spacing w:after="0" w:line="240" w:lineRule="auto"/>
        <w:rPr>
          <w:rFonts w:ascii="Times New Roman" w:hAnsi="Times New Roman"/>
          <w:color w:val="00548C"/>
          <w:sz w:val="24"/>
          <w:szCs w:val="24"/>
        </w:rPr>
      </w:pPr>
      <w:r w:rsidRPr="0044693C">
        <w:rPr>
          <w:rFonts w:ascii="Times New Roman" w:hAnsi="Times New Roman"/>
          <w:color w:val="00548C"/>
          <w:sz w:val="24"/>
          <w:szCs w:val="24"/>
        </w:rPr>
        <w:t xml:space="preserve">Effective Date: </w:t>
      </w:r>
      <w:r w:rsidR="00315E7E">
        <w:rPr>
          <w:rFonts w:ascii="Times New Roman" w:hAnsi="Times New Roman"/>
          <w:color w:val="00548C"/>
          <w:sz w:val="24"/>
          <w:szCs w:val="24"/>
        </w:rPr>
        <w:t>01/01/2013</w:t>
      </w:r>
    </w:p>
    <w:p w:rsidR="00A70E13" w:rsidRPr="0044693C" w:rsidRDefault="00480C09" w:rsidP="00480C09">
      <w:pPr>
        <w:pStyle w:val="PolicyMainHead"/>
        <w:tabs>
          <w:tab w:val="left" w:pos="360"/>
        </w:tabs>
        <w:spacing w:after="0" w:line="240" w:lineRule="auto"/>
        <w:jc w:val="right"/>
        <w:rPr>
          <w:rFonts w:ascii="Times New Roman" w:hAnsi="Times New Roman"/>
          <w:color w:val="00548C"/>
          <w:sz w:val="24"/>
          <w:szCs w:val="24"/>
        </w:rPr>
      </w:pPr>
      <w:r w:rsidRPr="0044693C">
        <w:rPr>
          <w:rFonts w:ascii="Times New Roman" w:hAnsi="Times New Roman"/>
          <w:color w:val="00548C"/>
          <w:sz w:val="24"/>
          <w:szCs w:val="24"/>
        </w:rPr>
        <w:tab/>
      </w:r>
    </w:p>
    <w:p w:rsidR="00480C09" w:rsidRPr="0044693C" w:rsidRDefault="00661540" w:rsidP="00480C09">
      <w:pPr>
        <w:pStyle w:val="PolicyMainHead"/>
        <w:tabs>
          <w:tab w:val="left" w:pos="360"/>
        </w:tabs>
        <w:spacing w:after="0" w:line="240" w:lineRule="auto"/>
        <w:jc w:val="right"/>
        <w:rPr>
          <w:rFonts w:ascii="Times New Roman" w:hAnsi="Times New Roman"/>
          <w:color w:val="00548C"/>
          <w:sz w:val="24"/>
          <w:szCs w:val="24"/>
        </w:rPr>
        <w:sectPr w:rsidR="00480C09" w:rsidRPr="0044693C" w:rsidSect="00480C09">
          <w:type w:val="continuous"/>
          <w:pgSz w:w="12240" w:h="15840" w:code="1"/>
          <w:pgMar w:top="1440" w:right="1170" w:bottom="1152" w:left="1440" w:header="576" w:footer="288" w:gutter="0"/>
          <w:cols w:num="2" w:space="720"/>
          <w:titlePg/>
          <w:docGrid w:linePitch="360"/>
        </w:sectPr>
      </w:pPr>
      <w:hyperlink w:anchor="Coding_and_Modifier_Info" w:history="1">
        <w:r w:rsidR="007B50D0" w:rsidRPr="0044693C">
          <w:rPr>
            <w:rStyle w:val="Hyperlink"/>
            <w:rFonts w:ascii="Times New Roman" w:hAnsi="Times New Roman"/>
            <w:sz w:val="24"/>
            <w:szCs w:val="24"/>
          </w:rPr>
          <w:t>Coding Implications</w:t>
        </w:r>
      </w:hyperlink>
      <w:r w:rsidR="007B50D0" w:rsidRPr="0044693C">
        <w:rPr>
          <w:rFonts w:ascii="Times New Roman" w:hAnsi="Times New Roman"/>
          <w:color w:val="00548C"/>
          <w:sz w:val="24"/>
          <w:szCs w:val="24"/>
        </w:rPr>
        <w:t xml:space="preserve"> </w:t>
      </w:r>
    </w:p>
    <w:p w:rsidR="00875924" w:rsidRPr="0044693C" w:rsidRDefault="00D574CA" w:rsidP="00D574CA">
      <w:pPr>
        <w:pStyle w:val="PolicyMainHead"/>
        <w:tabs>
          <w:tab w:val="left" w:pos="360"/>
        </w:tabs>
        <w:spacing w:after="0" w:line="240" w:lineRule="auto"/>
        <w:rPr>
          <w:rFonts w:ascii="Times New Roman" w:hAnsi="Times New Roman"/>
          <w:color w:val="00548C"/>
          <w:sz w:val="24"/>
          <w:szCs w:val="24"/>
        </w:rPr>
      </w:pPr>
      <w:r w:rsidRPr="0044693C">
        <w:rPr>
          <w:rFonts w:ascii="Times New Roman" w:hAnsi="Times New Roman"/>
          <w:color w:val="00548C"/>
          <w:sz w:val="24"/>
          <w:szCs w:val="24"/>
        </w:rPr>
        <w:t xml:space="preserve">Last Review Date: </w:t>
      </w:r>
      <w:r w:rsidR="00A3260A">
        <w:rPr>
          <w:rFonts w:ascii="Times New Roman" w:hAnsi="Times New Roman"/>
          <w:color w:val="00548C"/>
          <w:sz w:val="24"/>
          <w:szCs w:val="24"/>
        </w:rPr>
        <w:t>03/10/2018</w:t>
      </w:r>
    </w:p>
    <w:p w:rsidR="00875924" w:rsidRPr="00983688" w:rsidRDefault="00661540" w:rsidP="00875924">
      <w:pPr>
        <w:pStyle w:val="PolicyMainHead"/>
        <w:tabs>
          <w:tab w:val="left" w:pos="360"/>
        </w:tabs>
        <w:spacing w:after="0" w:line="240" w:lineRule="auto"/>
        <w:jc w:val="right"/>
        <w:rPr>
          <w:rStyle w:val="Strong"/>
          <w:rFonts w:ascii="Times New Roman" w:hAnsi="Times New Roman"/>
          <w:b w:val="0"/>
          <w:bCs w:val="0"/>
          <w:sz w:val="24"/>
          <w:szCs w:val="24"/>
          <w:u w:val="single"/>
        </w:rPr>
        <w:sectPr w:rsidR="00875924" w:rsidRPr="00983688" w:rsidSect="00875924">
          <w:type w:val="continuous"/>
          <w:pgSz w:w="12240" w:h="15840" w:code="1"/>
          <w:pgMar w:top="1440" w:right="1170" w:bottom="1440" w:left="1440" w:header="576" w:footer="288" w:gutter="0"/>
          <w:cols w:num="2" w:space="720"/>
          <w:titlePg/>
          <w:docGrid w:linePitch="360"/>
        </w:sectPr>
      </w:pPr>
      <w:hyperlink w:anchor="Revision_log" w:history="1">
        <w:r w:rsidR="007B50D0" w:rsidRPr="0044693C">
          <w:rPr>
            <w:rStyle w:val="Hyperlink"/>
            <w:rFonts w:ascii="Times New Roman" w:hAnsi="Times New Roman"/>
            <w:sz w:val="24"/>
            <w:szCs w:val="24"/>
          </w:rPr>
          <w:t>Revision Log</w:t>
        </w:r>
      </w:hyperlink>
      <w:r w:rsidR="00875924" w:rsidRPr="0044693C">
        <w:rPr>
          <w:rFonts w:ascii="Times New Roman" w:hAnsi="Times New Roman"/>
          <w:color w:val="00548C"/>
          <w:sz w:val="24"/>
          <w:szCs w:val="24"/>
        </w:rPr>
        <w:t xml:space="preserve"> </w:t>
      </w:r>
    </w:p>
    <w:p w:rsidR="005D7B81" w:rsidRDefault="00032D3F" w:rsidP="00032D3F">
      <w:pPr>
        <w:pStyle w:val="NormalWeb"/>
        <w:tabs>
          <w:tab w:val="left" w:pos="975"/>
        </w:tabs>
        <w:spacing w:before="0" w:beforeAutospacing="0" w:after="0" w:afterAutospacing="0"/>
        <w:rPr>
          <w:rFonts w:ascii="Times New Roman" w:hAnsi="Times New Roman" w:cs="Times New Roman"/>
        </w:rPr>
      </w:pPr>
      <w:r>
        <w:rPr>
          <w:rFonts w:ascii="Times New Roman" w:hAnsi="Times New Roman" w:cs="Times New Roman"/>
        </w:rPr>
        <w:tab/>
      </w:r>
    </w:p>
    <w:p w:rsidR="00D574CA" w:rsidRPr="005D7B81" w:rsidRDefault="005D7B81" w:rsidP="00D574CA">
      <w:pPr>
        <w:pStyle w:val="NormalWeb"/>
        <w:spacing w:before="0" w:beforeAutospacing="0" w:after="0" w:afterAutospacing="0"/>
        <w:rPr>
          <w:rStyle w:val="Strong"/>
          <w:rFonts w:ascii="Times New Roman" w:hAnsi="Times New Roman" w:cs="Times New Roman"/>
          <w:b w:val="0"/>
          <w:bCs w:val="0"/>
          <w:color w:val="00548C"/>
          <w:u w:val="single"/>
        </w:rPr>
      </w:pPr>
      <w:r w:rsidRPr="005D7B81">
        <w:rPr>
          <w:rFonts w:ascii="Times New Roman" w:hAnsi="Times New Roman" w:cs="Times New Roman"/>
          <w:b/>
          <w:color w:val="00548C"/>
        </w:rPr>
        <w:t xml:space="preserve">See </w:t>
      </w:r>
      <w:hyperlink w:anchor="Important_Reminder" w:history="1">
        <w:r w:rsidRPr="005D7B81">
          <w:rPr>
            <w:rStyle w:val="Hyperlink"/>
            <w:rFonts w:ascii="Times New Roman" w:eastAsia="Times New Roman" w:hAnsi="Times New Roman" w:cs="Times New Roman"/>
            <w:noProof/>
          </w:rPr>
          <w:t>Important Reminder</w:t>
        </w:r>
      </w:hyperlink>
      <w:r w:rsidRPr="005D7B81">
        <w:rPr>
          <w:rFonts w:ascii="Times New Roman" w:hAnsi="Times New Roman" w:cs="Times New Roman"/>
          <w:b/>
          <w:color w:val="00548C"/>
        </w:rPr>
        <w:t xml:space="preserve"> at the end of th</w:t>
      </w:r>
      <w:r w:rsidR="00493710">
        <w:rPr>
          <w:rFonts w:ascii="Times New Roman" w:hAnsi="Times New Roman" w:cs="Times New Roman"/>
          <w:b/>
          <w:color w:val="00548C"/>
        </w:rPr>
        <w:t>is</w:t>
      </w:r>
      <w:r w:rsidRPr="005D7B81">
        <w:rPr>
          <w:rFonts w:ascii="Times New Roman" w:hAnsi="Times New Roman" w:cs="Times New Roman"/>
          <w:b/>
          <w:color w:val="00548C"/>
        </w:rPr>
        <w:t xml:space="preserve"> policy for</w:t>
      </w:r>
      <w:r w:rsidR="00493710">
        <w:rPr>
          <w:rFonts w:ascii="Times New Roman" w:hAnsi="Times New Roman" w:cs="Times New Roman"/>
          <w:b/>
          <w:color w:val="00548C"/>
        </w:rPr>
        <w:t xml:space="preserve"> important</w:t>
      </w:r>
      <w:r w:rsidRPr="005D7B81">
        <w:rPr>
          <w:rFonts w:ascii="Times New Roman" w:hAnsi="Times New Roman" w:cs="Times New Roman"/>
          <w:b/>
          <w:color w:val="00548C"/>
        </w:rPr>
        <w:t xml:space="preserve"> regulatory and legal information</w:t>
      </w:r>
      <w:r w:rsidR="00493710">
        <w:rPr>
          <w:rFonts w:ascii="Times New Roman" w:hAnsi="Times New Roman" w:cs="Times New Roman"/>
          <w:b/>
          <w:color w:val="00548C"/>
        </w:rPr>
        <w:t>.</w:t>
      </w:r>
    </w:p>
    <w:p w:rsidR="00C73CF5" w:rsidRDefault="00C73CF5" w:rsidP="00875924">
      <w:pPr>
        <w:pStyle w:val="NormalWeb"/>
        <w:spacing w:before="0" w:beforeAutospacing="0" w:after="0" w:afterAutospacing="0"/>
        <w:jc w:val="center"/>
        <w:rPr>
          <w:rStyle w:val="Strong"/>
          <w:rFonts w:ascii="Times New Roman" w:hAnsi="Times New Roman" w:cs="Times New Roman"/>
          <w:b w:val="0"/>
          <w:bCs w:val="0"/>
          <w:u w:val="single"/>
        </w:rPr>
      </w:pPr>
    </w:p>
    <w:p w:rsidR="00A70E13" w:rsidRPr="00983688" w:rsidRDefault="00A70E13" w:rsidP="00983688">
      <w:pPr>
        <w:pStyle w:val="Heading2"/>
      </w:pPr>
      <w:r w:rsidRPr="00983688">
        <w:rPr>
          <w:u w:val="none"/>
        </w:rPr>
        <w:t>Policy Overview</w:t>
      </w:r>
    </w:p>
    <w:p w:rsidR="00315E7E" w:rsidRPr="00315E7E" w:rsidRDefault="00315E7E" w:rsidP="00315E7E">
      <w:pPr>
        <w:autoSpaceDE w:val="0"/>
        <w:autoSpaceDN w:val="0"/>
        <w:adjustRightInd w:val="0"/>
        <w:rPr>
          <w:rFonts w:eastAsiaTheme="minorHAnsi"/>
        </w:rPr>
      </w:pPr>
      <w:r w:rsidRPr="00315E7E">
        <w:rPr>
          <w:rFonts w:eastAsiaTheme="minorHAnsi"/>
        </w:rPr>
        <w:t xml:space="preserve">The Centers for Medicare and Medicaid Services (CMS) has determined that certain procedures should only be performed in an inpatient setting and therefore, are not appropriate to be conducted in an outpatient facility setting.  According to CMS, </w:t>
      </w:r>
    </w:p>
    <w:p w:rsidR="00315E7E" w:rsidRPr="00315E7E" w:rsidRDefault="00315E7E" w:rsidP="00315E7E">
      <w:pPr>
        <w:autoSpaceDE w:val="0"/>
        <w:autoSpaceDN w:val="0"/>
        <w:adjustRightInd w:val="0"/>
        <w:rPr>
          <w:rFonts w:eastAsiaTheme="minorHAnsi"/>
        </w:rPr>
      </w:pPr>
    </w:p>
    <w:p w:rsidR="00315E7E" w:rsidRPr="00315E7E" w:rsidRDefault="00315E7E" w:rsidP="00315E7E">
      <w:pPr>
        <w:autoSpaceDE w:val="0"/>
        <w:autoSpaceDN w:val="0"/>
        <w:adjustRightInd w:val="0"/>
        <w:ind w:left="720"/>
        <w:rPr>
          <w:rFonts w:eastAsiaTheme="minorHAnsi"/>
          <w:b/>
          <w:i/>
        </w:rPr>
      </w:pPr>
      <w:r w:rsidRPr="00315E7E">
        <w:rPr>
          <w:rFonts w:eastAsiaTheme="minorHAnsi"/>
          <w:b/>
          <w:i/>
        </w:rPr>
        <w:t>Inpatient only services are generally, but not always, surgical services that require inpatient care because of the nature of the procedure, the typical underlying physical condition of patients who require the service or the need for at least 24 hours of postoperative recovery time or monitoring before the patient can be safely discharged.</w:t>
      </w:r>
    </w:p>
    <w:p w:rsidR="00315E7E" w:rsidRPr="00315E7E" w:rsidRDefault="00315E7E" w:rsidP="00315E7E">
      <w:pPr>
        <w:autoSpaceDE w:val="0"/>
        <w:autoSpaceDN w:val="0"/>
        <w:adjustRightInd w:val="0"/>
        <w:rPr>
          <w:rFonts w:eastAsiaTheme="minorHAnsi"/>
        </w:rPr>
      </w:pPr>
    </w:p>
    <w:p w:rsidR="00315E7E" w:rsidRPr="00315E7E" w:rsidRDefault="00315E7E" w:rsidP="00315E7E">
      <w:pPr>
        <w:autoSpaceDE w:val="0"/>
        <w:autoSpaceDN w:val="0"/>
        <w:adjustRightInd w:val="0"/>
        <w:rPr>
          <w:rFonts w:eastAsiaTheme="minorHAnsi"/>
        </w:rPr>
      </w:pPr>
      <w:r w:rsidRPr="00315E7E">
        <w:rPr>
          <w:rFonts w:eastAsiaTheme="minorHAnsi"/>
        </w:rPr>
        <w:t xml:space="preserve">Inpatient only procedures (IOP) are not payable under the Outpatient Prospective Payment System (OPPS).  CMS designates IOP with an OPPS status indicator of “C” in the OPPS Addendum B.    For the most current list, see </w:t>
      </w:r>
      <w:hyperlink r:id="rId14" w:history="1">
        <w:r w:rsidRPr="00315E7E">
          <w:rPr>
            <w:rStyle w:val="Hyperlink"/>
            <w:rFonts w:eastAsiaTheme="minorHAnsi"/>
          </w:rPr>
          <w:t>https://www.cms.gov/Medicare/Medicare-Fee-for-Service-Payment/HospitalOutpatientPPS/Addendum-A-and-Addendum-B-Updates.html?DLSort=2&amp;DLEntries=10&amp;DLPage=1&amp;DLSortDir=descending</w:t>
        </w:r>
      </w:hyperlink>
    </w:p>
    <w:p w:rsidR="00A70E13" w:rsidRPr="00A70E13" w:rsidRDefault="00A70E13" w:rsidP="00A70E13">
      <w:pPr>
        <w:autoSpaceDE w:val="0"/>
        <w:autoSpaceDN w:val="0"/>
        <w:adjustRightInd w:val="0"/>
        <w:rPr>
          <w:rFonts w:eastAsiaTheme="minorHAnsi"/>
          <w:b/>
          <w:color w:val="002868"/>
        </w:rPr>
      </w:pPr>
    </w:p>
    <w:p w:rsidR="00A70E13" w:rsidRPr="00A70E13" w:rsidRDefault="00A70E13" w:rsidP="00A70E13">
      <w:pPr>
        <w:rPr>
          <w:rFonts w:eastAsiaTheme="minorHAnsi"/>
        </w:rPr>
      </w:pPr>
      <w:r w:rsidRPr="00983688">
        <w:rPr>
          <w:b/>
          <w:bCs/>
        </w:rPr>
        <w:t>Application</w:t>
      </w:r>
      <w:r w:rsidRPr="00983688">
        <w:rPr>
          <w:b/>
          <w:bCs/>
        </w:rPr>
        <w:br/>
      </w:r>
      <w:r w:rsidRPr="00A70E13">
        <w:rPr>
          <w:rFonts w:eastAsiaTheme="minorHAnsi"/>
        </w:rPr>
        <w:t xml:space="preserve">This policy applies to </w:t>
      </w:r>
      <w:r w:rsidR="00B00F3F">
        <w:rPr>
          <w:rFonts w:eastAsiaTheme="minorHAnsi"/>
        </w:rPr>
        <w:t>physicians and hospitals</w:t>
      </w:r>
      <w:r w:rsidRPr="00A70E13">
        <w:rPr>
          <w:rFonts w:eastAsiaTheme="minorHAnsi"/>
        </w:rPr>
        <w:t xml:space="preserve">. </w:t>
      </w:r>
    </w:p>
    <w:p w:rsidR="00A70E13" w:rsidRPr="00A70E13" w:rsidRDefault="00A70E13" w:rsidP="00A70E13">
      <w:pPr>
        <w:autoSpaceDE w:val="0"/>
        <w:autoSpaceDN w:val="0"/>
        <w:adjustRightInd w:val="0"/>
        <w:rPr>
          <w:rFonts w:eastAsiaTheme="minorHAnsi"/>
          <w:b/>
          <w:color w:val="002868"/>
        </w:rPr>
      </w:pPr>
    </w:p>
    <w:p w:rsidR="00A70E13" w:rsidRPr="00983688" w:rsidRDefault="00A70E13" w:rsidP="00A70E13">
      <w:pPr>
        <w:rPr>
          <w:b/>
          <w:bCs/>
        </w:rPr>
      </w:pPr>
      <w:r w:rsidRPr="00983688">
        <w:rPr>
          <w:b/>
          <w:bCs/>
        </w:rPr>
        <w:t>Policy Description</w:t>
      </w:r>
    </w:p>
    <w:p w:rsidR="00A70E13" w:rsidRPr="00A70E13" w:rsidRDefault="00A70E13" w:rsidP="00A70E13">
      <w:pPr>
        <w:rPr>
          <w:rFonts w:eastAsiaTheme="minorHAnsi"/>
          <w:b/>
          <w:color w:val="244061" w:themeColor="accent1" w:themeShade="80"/>
        </w:rPr>
      </w:pPr>
    </w:p>
    <w:p w:rsidR="00A70E13" w:rsidRPr="00983688" w:rsidRDefault="00A70E13" w:rsidP="00A70E13">
      <w:pPr>
        <w:rPr>
          <w:b/>
          <w:bCs/>
        </w:rPr>
      </w:pPr>
      <w:r w:rsidRPr="00983688">
        <w:rPr>
          <w:b/>
          <w:bCs/>
        </w:rPr>
        <w:t xml:space="preserve">Reimbursement </w:t>
      </w:r>
    </w:p>
    <w:p w:rsidR="00315E7E" w:rsidRPr="00315E7E" w:rsidRDefault="00315E7E" w:rsidP="00315E7E">
      <w:pPr>
        <w:rPr>
          <w:rFonts w:eastAsiaTheme="minorHAnsi"/>
        </w:rPr>
      </w:pPr>
      <w:r w:rsidRPr="00315E7E">
        <w:rPr>
          <w:rFonts w:eastAsiaTheme="minorHAnsi"/>
        </w:rPr>
        <w:t>The Health Plan’s clinical code auditing software will deny procedures that CMS determines should be performed in an inpatient only setting when billed in the outpatient setting.</w:t>
      </w:r>
    </w:p>
    <w:p w:rsidR="00315E7E" w:rsidRPr="00315E7E" w:rsidRDefault="00315E7E" w:rsidP="00315E7E">
      <w:pPr>
        <w:rPr>
          <w:rFonts w:eastAsiaTheme="minorHAnsi"/>
        </w:rPr>
      </w:pPr>
    </w:p>
    <w:p w:rsidR="00315E7E" w:rsidRPr="00315E7E" w:rsidRDefault="00315E7E" w:rsidP="00315E7E">
      <w:pPr>
        <w:rPr>
          <w:rFonts w:eastAsiaTheme="minorHAnsi"/>
          <w:b/>
          <w:i/>
        </w:rPr>
      </w:pPr>
      <w:r w:rsidRPr="00315E7E">
        <w:rPr>
          <w:rFonts w:eastAsiaTheme="minorHAnsi"/>
          <w:b/>
          <w:i/>
        </w:rPr>
        <w:t>State-specific rules, health plan contracts or health plan policies, may supersede this edit</w:t>
      </w:r>
      <w:r w:rsidRPr="00315E7E">
        <w:rPr>
          <w:rFonts w:eastAsiaTheme="minorHAnsi"/>
          <w:i/>
        </w:rPr>
        <w:t>.</w:t>
      </w:r>
    </w:p>
    <w:p w:rsidR="00A70E13" w:rsidRPr="00A70E13" w:rsidRDefault="00A70E13" w:rsidP="00A70E13">
      <w:pPr>
        <w:rPr>
          <w:rFonts w:eastAsiaTheme="minorHAnsi"/>
        </w:rPr>
      </w:pPr>
    </w:p>
    <w:p w:rsidR="00A70E13" w:rsidRPr="00983688" w:rsidRDefault="00A70E13" w:rsidP="00A70E13">
      <w:pPr>
        <w:rPr>
          <w:b/>
          <w:bCs/>
        </w:rPr>
      </w:pPr>
      <w:r w:rsidRPr="00983688">
        <w:rPr>
          <w:b/>
          <w:bCs/>
        </w:rPr>
        <w:t>Utilization</w:t>
      </w:r>
    </w:p>
    <w:p w:rsidR="00315E7E" w:rsidRPr="00315E7E" w:rsidRDefault="00315E7E" w:rsidP="00315E7E">
      <w:pPr>
        <w:rPr>
          <w:rFonts w:eastAsiaTheme="minorHAnsi"/>
          <w:b/>
          <w:u w:val="single"/>
        </w:rPr>
      </w:pPr>
      <w:r w:rsidRPr="00315E7E">
        <w:rPr>
          <w:rFonts w:eastAsiaTheme="minorHAnsi"/>
          <w:b/>
          <w:u w:val="single"/>
        </w:rPr>
        <w:t>Rationale for Edit</w:t>
      </w:r>
    </w:p>
    <w:p w:rsidR="00315E7E" w:rsidRPr="00315E7E" w:rsidRDefault="00315E7E" w:rsidP="00315E7E">
      <w:pPr>
        <w:rPr>
          <w:rFonts w:eastAsiaTheme="minorHAnsi"/>
          <w:b/>
          <w:u w:val="single"/>
        </w:rPr>
      </w:pPr>
    </w:p>
    <w:p w:rsidR="00315E7E" w:rsidRDefault="00315E7E" w:rsidP="00315E7E">
      <w:pPr>
        <w:rPr>
          <w:rFonts w:eastAsiaTheme="minorHAnsi"/>
        </w:rPr>
      </w:pPr>
      <w:r w:rsidRPr="00315E7E">
        <w:rPr>
          <w:rFonts w:eastAsiaTheme="minorHAnsi"/>
        </w:rPr>
        <w:t>Because of the invasive nature of certain procedures, the need for at least 24 hours of post-operative recovery time or monitoring before a patient can be safely discharged, or the underlying physical condition of the patient requiring surgery, CMS has determined that certain procedures are safest when performed in an inpatient setting.</w:t>
      </w:r>
    </w:p>
    <w:p w:rsidR="00315E7E" w:rsidRDefault="00315E7E" w:rsidP="00315E7E">
      <w:pPr>
        <w:rPr>
          <w:rFonts w:eastAsiaTheme="minorHAnsi"/>
        </w:rPr>
      </w:pPr>
    </w:p>
    <w:p w:rsidR="00315E7E" w:rsidRDefault="00315E7E" w:rsidP="00315E7E">
      <w:pPr>
        <w:rPr>
          <w:rFonts w:eastAsiaTheme="minorHAnsi"/>
        </w:rPr>
      </w:pPr>
    </w:p>
    <w:p w:rsidR="00315E7E" w:rsidRDefault="00315E7E" w:rsidP="00315E7E">
      <w:pPr>
        <w:rPr>
          <w:rFonts w:eastAsiaTheme="minorHAnsi"/>
        </w:rPr>
      </w:pPr>
    </w:p>
    <w:p w:rsidR="00315E7E" w:rsidRPr="00315E7E" w:rsidRDefault="00315E7E" w:rsidP="00315E7E">
      <w:pPr>
        <w:rPr>
          <w:rFonts w:eastAsiaTheme="minorHAnsi"/>
        </w:rPr>
      </w:pPr>
    </w:p>
    <w:p w:rsidR="00A70E13" w:rsidRPr="00A70E13" w:rsidRDefault="00A70E13" w:rsidP="00A70E13">
      <w:pPr>
        <w:rPr>
          <w:rFonts w:eastAsiaTheme="minorHAnsi"/>
          <w:b/>
          <w:color w:val="1F497D" w:themeColor="text2"/>
        </w:rPr>
      </w:pPr>
    </w:p>
    <w:p w:rsidR="00315E7E" w:rsidRPr="00315E7E" w:rsidRDefault="00315E7E" w:rsidP="00315E7E">
      <w:pPr>
        <w:autoSpaceDE w:val="0"/>
        <w:autoSpaceDN w:val="0"/>
        <w:adjustRightInd w:val="0"/>
        <w:rPr>
          <w:b/>
          <w:bCs/>
          <w:u w:val="single"/>
        </w:rPr>
      </w:pPr>
      <w:r w:rsidRPr="00315E7E">
        <w:rPr>
          <w:b/>
          <w:bCs/>
          <w:u w:val="single"/>
        </w:rPr>
        <w:t xml:space="preserve">Procedure Codes Which Will Deny According to the Policy </w:t>
      </w:r>
    </w:p>
    <w:p w:rsidR="00315E7E" w:rsidRPr="00315E7E" w:rsidRDefault="00315E7E" w:rsidP="00315E7E">
      <w:pPr>
        <w:autoSpaceDE w:val="0"/>
        <w:autoSpaceDN w:val="0"/>
        <w:adjustRightInd w:val="0"/>
        <w:rPr>
          <w:b/>
          <w:bCs/>
          <w:u w:val="single"/>
        </w:rPr>
      </w:pPr>
    </w:p>
    <w:p w:rsidR="00315E7E" w:rsidRPr="00315E7E" w:rsidRDefault="00315E7E" w:rsidP="00315E7E">
      <w:pPr>
        <w:autoSpaceDE w:val="0"/>
        <w:autoSpaceDN w:val="0"/>
        <w:adjustRightInd w:val="0"/>
        <w:rPr>
          <w:bCs/>
        </w:rPr>
      </w:pPr>
      <w:r w:rsidRPr="00315E7E">
        <w:rPr>
          <w:bCs/>
        </w:rPr>
        <w:t xml:space="preserve">Please see the following link for inpatient only procedures which are not allowed in an outpatient setting: </w:t>
      </w:r>
      <w:hyperlink r:id="rId15" w:history="1">
        <w:r w:rsidRPr="00315E7E">
          <w:rPr>
            <w:rStyle w:val="Hyperlink"/>
            <w:bCs/>
          </w:rPr>
          <w:t>https://www.cms.gov/Medicare/Medicare-Fee-for-Service-Payment/HospitalOutpatientPPS/index.html</w:t>
        </w:r>
      </w:hyperlink>
      <w:r w:rsidRPr="00315E7E">
        <w:rPr>
          <w:bCs/>
        </w:rPr>
        <w:t xml:space="preserve">. </w:t>
      </w:r>
    </w:p>
    <w:p w:rsidR="00A70E13" w:rsidRPr="00A70E13" w:rsidRDefault="00A70E13" w:rsidP="00A70E13">
      <w:pPr>
        <w:autoSpaceDE w:val="0"/>
        <w:autoSpaceDN w:val="0"/>
        <w:adjustRightInd w:val="0"/>
        <w:rPr>
          <w:rFonts w:eastAsiaTheme="minorHAnsi"/>
          <w:sz w:val="18"/>
          <w:szCs w:val="18"/>
        </w:rPr>
      </w:pPr>
    </w:p>
    <w:p w:rsidR="00A70E13" w:rsidRPr="00983688" w:rsidRDefault="00A70E13" w:rsidP="00A70E13">
      <w:pPr>
        <w:rPr>
          <w:b/>
          <w:bCs/>
        </w:rPr>
      </w:pPr>
      <w:r w:rsidRPr="00983688">
        <w:rPr>
          <w:b/>
          <w:bCs/>
        </w:rPr>
        <w:t>Related Documents or Resources</w:t>
      </w:r>
    </w:p>
    <w:p w:rsidR="00315E7E" w:rsidRPr="00315E7E" w:rsidRDefault="00315E7E" w:rsidP="00315E7E">
      <w:pPr>
        <w:rPr>
          <w:rFonts w:eastAsiaTheme="minorHAnsi"/>
          <w:b/>
        </w:rPr>
      </w:pPr>
    </w:p>
    <w:p w:rsidR="00315E7E" w:rsidRPr="00315E7E" w:rsidRDefault="00315E7E" w:rsidP="00315E7E">
      <w:pPr>
        <w:numPr>
          <w:ilvl w:val="0"/>
          <w:numId w:val="23"/>
        </w:numPr>
        <w:rPr>
          <w:rFonts w:eastAsiaTheme="minorHAnsi"/>
        </w:rPr>
      </w:pPr>
      <w:r w:rsidRPr="00315E7E">
        <w:rPr>
          <w:rFonts w:eastAsiaTheme="minorHAnsi"/>
        </w:rPr>
        <w:t>Centers for Medicare and Medicaid Services, CMS Manual System and other CMS publications and services</w:t>
      </w:r>
    </w:p>
    <w:p w:rsidR="00A70E13" w:rsidRPr="00A70E13" w:rsidRDefault="00A70E13" w:rsidP="00A70E13">
      <w:pPr>
        <w:rPr>
          <w:rFonts w:eastAsiaTheme="minorHAnsi"/>
          <w:b/>
          <w:color w:val="002868"/>
          <w:sz w:val="28"/>
          <w:szCs w:val="28"/>
        </w:rPr>
      </w:pPr>
    </w:p>
    <w:p w:rsidR="00A70E13" w:rsidRPr="00A70E13" w:rsidRDefault="00A70E13" w:rsidP="00A70E13">
      <w:pPr>
        <w:rPr>
          <w:rFonts w:eastAsiaTheme="minorHAnsi"/>
        </w:rPr>
      </w:pPr>
    </w:p>
    <w:p w:rsidR="00A70E13" w:rsidRPr="00983688" w:rsidRDefault="00A70E13" w:rsidP="00983688">
      <w:pPr>
        <w:rPr>
          <w:b/>
          <w:bCs/>
        </w:rPr>
      </w:pPr>
      <w:r w:rsidRPr="00983688">
        <w:rPr>
          <w:b/>
          <w:bCs/>
        </w:rPr>
        <w:t>References</w:t>
      </w:r>
    </w:p>
    <w:p w:rsidR="00A70E13" w:rsidRPr="00A70E13" w:rsidRDefault="00A70E13" w:rsidP="00B114A7">
      <w:pPr>
        <w:numPr>
          <w:ilvl w:val="0"/>
          <w:numId w:val="22"/>
        </w:numPr>
        <w:spacing w:after="200" w:line="276" w:lineRule="auto"/>
        <w:ind w:left="360"/>
        <w:contextualSpacing/>
        <w:rPr>
          <w:rFonts w:eastAsiaTheme="minorHAnsi"/>
          <w:b/>
          <w:color w:val="1F497D" w:themeColor="text2"/>
        </w:rPr>
      </w:pPr>
      <w:r w:rsidRPr="00A70E13">
        <w:rPr>
          <w:rFonts w:eastAsiaTheme="minorHAnsi"/>
          <w:i/>
        </w:rPr>
        <w:t>Curr</w:t>
      </w:r>
      <w:r w:rsidR="00CA4927">
        <w:rPr>
          <w:rFonts w:eastAsiaTheme="minorHAnsi"/>
          <w:i/>
        </w:rPr>
        <w:t>ent Procedural Terminology (CPT</w:t>
      </w:r>
      <w:r w:rsidRPr="00A70E13">
        <w:rPr>
          <w:rFonts w:eastAsiaTheme="minorHAnsi"/>
        </w:rPr>
        <w:t>®</w:t>
      </w:r>
      <w:r w:rsidR="00CA4927">
        <w:rPr>
          <w:rFonts w:eastAsiaTheme="minorHAnsi"/>
        </w:rPr>
        <w:t>)</w:t>
      </w:r>
      <w:r w:rsidR="00A3260A">
        <w:rPr>
          <w:rFonts w:eastAsiaTheme="minorHAnsi"/>
        </w:rPr>
        <w:t>, 2017</w:t>
      </w:r>
    </w:p>
    <w:p w:rsidR="00B114A7" w:rsidRPr="00A70E13" w:rsidRDefault="00B114A7" w:rsidP="00983688">
      <w:pPr>
        <w:spacing w:after="200" w:line="276" w:lineRule="auto"/>
        <w:ind w:left="720"/>
        <w:contextualSpacing/>
        <w:rPr>
          <w:rFonts w:eastAsiaTheme="minorHAnsi"/>
          <w:b/>
          <w:color w:val="1F497D" w:themeColor="text2"/>
        </w:rPr>
      </w:pPr>
    </w:p>
    <w:tbl>
      <w:tblPr>
        <w:tblStyle w:val="TableGrid1"/>
        <w:tblW w:w="0" w:type="auto"/>
        <w:tblLook w:val="04A0" w:firstRow="1" w:lastRow="0" w:firstColumn="1" w:lastColumn="0" w:noHBand="0" w:noVBand="1"/>
      </w:tblPr>
      <w:tblGrid>
        <w:gridCol w:w="1989"/>
        <w:gridCol w:w="7361"/>
      </w:tblGrid>
      <w:tr w:rsidR="00A70E13" w:rsidRPr="00A70E13" w:rsidTr="00983688">
        <w:tc>
          <w:tcPr>
            <w:tcW w:w="9350" w:type="dxa"/>
            <w:gridSpan w:val="2"/>
            <w:shd w:val="clear" w:color="auto" w:fill="00548C"/>
          </w:tcPr>
          <w:p w:rsidR="00A70E13" w:rsidRPr="00A70E13" w:rsidRDefault="00B114A7" w:rsidP="00A6799B">
            <w:pPr>
              <w:rPr>
                <w:rFonts w:ascii="Times New Roman" w:hAnsi="Times New Roman" w:cs="Times New Roman"/>
                <w:b/>
                <w:color w:val="FFFFFF" w:themeColor="background1"/>
              </w:rPr>
            </w:pPr>
            <w:bookmarkStart w:id="0" w:name="Revision_log"/>
            <w:r w:rsidRPr="00A70E13">
              <w:rPr>
                <w:rFonts w:ascii="Times New Roman" w:hAnsi="Times New Roman" w:cs="Times New Roman"/>
                <w:b/>
                <w:color w:val="FFFFFF" w:themeColor="background1"/>
              </w:rPr>
              <w:t>Revision History</w:t>
            </w:r>
            <w:bookmarkEnd w:id="0"/>
          </w:p>
        </w:tc>
      </w:tr>
      <w:tr w:rsidR="00A70E13" w:rsidRPr="00A70E13" w:rsidTr="00A6799B">
        <w:tc>
          <w:tcPr>
            <w:tcW w:w="1989" w:type="dxa"/>
          </w:tcPr>
          <w:p w:rsidR="00A70E13" w:rsidRPr="00A3260A" w:rsidRDefault="00315E7E" w:rsidP="00A6799B">
            <w:pPr>
              <w:rPr>
                <w:rFonts w:ascii="Times New Roman" w:hAnsi="Times New Roman" w:cs="Times New Roman"/>
              </w:rPr>
            </w:pPr>
            <w:r w:rsidRPr="00A3260A">
              <w:rPr>
                <w:rFonts w:ascii="Times New Roman" w:hAnsi="Times New Roman" w:cs="Times New Roman"/>
              </w:rPr>
              <w:t>Pending</w:t>
            </w:r>
          </w:p>
        </w:tc>
        <w:tc>
          <w:tcPr>
            <w:tcW w:w="7361" w:type="dxa"/>
          </w:tcPr>
          <w:p w:rsidR="00A70E13" w:rsidRPr="00A3260A" w:rsidRDefault="00315E7E" w:rsidP="00A6799B">
            <w:pPr>
              <w:rPr>
                <w:rFonts w:ascii="Times New Roman" w:hAnsi="Times New Roman" w:cs="Times New Roman"/>
              </w:rPr>
            </w:pPr>
            <w:r w:rsidRPr="00A3260A">
              <w:rPr>
                <w:rFonts w:ascii="Times New Roman" w:hAnsi="Times New Roman" w:cs="Times New Roman"/>
              </w:rPr>
              <w:t>Notice Period</w:t>
            </w:r>
          </w:p>
        </w:tc>
      </w:tr>
      <w:tr w:rsidR="00315E7E" w:rsidRPr="00A70E13" w:rsidTr="00A6799B">
        <w:tc>
          <w:tcPr>
            <w:tcW w:w="1989" w:type="dxa"/>
          </w:tcPr>
          <w:p w:rsidR="00315E7E" w:rsidRPr="00A3260A" w:rsidRDefault="00315E7E" w:rsidP="00A6799B">
            <w:pPr>
              <w:rPr>
                <w:rFonts w:ascii="Times New Roman" w:hAnsi="Times New Roman" w:cs="Times New Roman"/>
              </w:rPr>
            </w:pPr>
            <w:r w:rsidRPr="00A3260A">
              <w:rPr>
                <w:rFonts w:ascii="Times New Roman" w:hAnsi="Times New Roman" w:cs="Times New Roman"/>
              </w:rPr>
              <w:t>02/27/2017</w:t>
            </w:r>
          </w:p>
        </w:tc>
        <w:tc>
          <w:tcPr>
            <w:tcW w:w="7361" w:type="dxa"/>
          </w:tcPr>
          <w:p w:rsidR="00315E7E" w:rsidRPr="00A3260A" w:rsidRDefault="00315E7E" w:rsidP="00A6799B">
            <w:pPr>
              <w:rPr>
                <w:rFonts w:ascii="Times New Roman" w:hAnsi="Times New Roman" w:cs="Times New Roman"/>
              </w:rPr>
            </w:pPr>
            <w:r w:rsidRPr="00A3260A">
              <w:rPr>
                <w:rFonts w:ascii="Times New Roman" w:hAnsi="Times New Roman" w:cs="Times New Roman"/>
              </w:rPr>
              <w:t>Converted to new template and annual review conducted</w:t>
            </w:r>
            <w:r w:rsidR="00B00F3F" w:rsidRPr="00A3260A">
              <w:rPr>
                <w:rFonts w:ascii="Times New Roman" w:hAnsi="Times New Roman" w:cs="Times New Roman"/>
              </w:rPr>
              <w:t>.</w:t>
            </w:r>
          </w:p>
        </w:tc>
      </w:tr>
      <w:tr w:rsidR="00F30E8E" w:rsidRPr="00F30E8E" w:rsidTr="00A6799B">
        <w:tc>
          <w:tcPr>
            <w:tcW w:w="1989" w:type="dxa"/>
          </w:tcPr>
          <w:p w:rsidR="00F30E8E" w:rsidRPr="00A3260A" w:rsidRDefault="00F30E8E" w:rsidP="00A6799B">
            <w:pPr>
              <w:rPr>
                <w:rFonts w:ascii="Times New Roman" w:hAnsi="Times New Roman" w:cs="Times New Roman"/>
              </w:rPr>
            </w:pPr>
            <w:r w:rsidRPr="00A3260A">
              <w:rPr>
                <w:rFonts w:ascii="Times New Roman" w:hAnsi="Times New Roman" w:cs="Times New Roman"/>
              </w:rPr>
              <w:t>12/9/2017</w:t>
            </w:r>
          </w:p>
        </w:tc>
        <w:tc>
          <w:tcPr>
            <w:tcW w:w="7361" w:type="dxa"/>
          </w:tcPr>
          <w:p w:rsidR="00F30E8E" w:rsidRPr="00A3260A" w:rsidRDefault="00F30E8E" w:rsidP="00A6799B">
            <w:pPr>
              <w:rPr>
                <w:rFonts w:ascii="Times New Roman" w:hAnsi="Times New Roman" w:cs="Times New Roman"/>
              </w:rPr>
            </w:pPr>
            <w:r w:rsidRPr="00A3260A">
              <w:rPr>
                <w:rFonts w:ascii="Times New Roman" w:hAnsi="Times New Roman" w:cs="Times New Roman"/>
              </w:rPr>
              <w:t>Corrected line of business to Medicare and Medicaid</w:t>
            </w:r>
          </w:p>
        </w:tc>
      </w:tr>
      <w:tr w:rsidR="00A3260A" w:rsidRPr="00F30E8E" w:rsidTr="00A6799B">
        <w:tc>
          <w:tcPr>
            <w:tcW w:w="1989" w:type="dxa"/>
          </w:tcPr>
          <w:p w:rsidR="00A3260A" w:rsidRPr="00A3260A" w:rsidRDefault="00A3260A" w:rsidP="00A6799B">
            <w:pPr>
              <w:rPr>
                <w:rFonts w:ascii="Times New Roman" w:hAnsi="Times New Roman" w:cs="Times New Roman"/>
              </w:rPr>
            </w:pPr>
            <w:r w:rsidRPr="00A3260A">
              <w:rPr>
                <w:rFonts w:ascii="Times New Roman" w:hAnsi="Times New Roman" w:cs="Times New Roman"/>
              </w:rPr>
              <w:t>03/10/208</w:t>
            </w:r>
          </w:p>
        </w:tc>
        <w:tc>
          <w:tcPr>
            <w:tcW w:w="7361" w:type="dxa"/>
          </w:tcPr>
          <w:p w:rsidR="00A3260A" w:rsidRPr="00A3260A" w:rsidRDefault="00A3260A" w:rsidP="00A6799B">
            <w:pPr>
              <w:rPr>
                <w:rFonts w:ascii="Times New Roman" w:hAnsi="Times New Roman" w:cs="Times New Roman"/>
              </w:rPr>
            </w:pPr>
            <w:r w:rsidRPr="00A3260A">
              <w:rPr>
                <w:rFonts w:ascii="Times New Roman" w:hAnsi="Times New Roman" w:cs="Times New Roman"/>
              </w:rPr>
              <w:t xml:space="preserve">Reviewed and revised policy </w:t>
            </w:r>
          </w:p>
        </w:tc>
      </w:tr>
    </w:tbl>
    <w:p w:rsidR="00DD6ADB" w:rsidRPr="00F30E8E" w:rsidRDefault="00DD6ADB" w:rsidP="00963062"/>
    <w:p w:rsidR="00A3260A" w:rsidRPr="00983688" w:rsidRDefault="00A3260A" w:rsidP="00A3260A">
      <w:pPr>
        <w:rPr>
          <w:b/>
          <w:szCs w:val="28"/>
          <w:u w:val="single"/>
        </w:rPr>
      </w:pPr>
      <w:r w:rsidRPr="00983688">
        <w:rPr>
          <w:b/>
          <w:szCs w:val="28"/>
          <w:u w:val="single"/>
        </w:rPr>
        <w:t>Important Reminder</w:t>
      </w:r>
    </w:p>
    <w:p w:rsidR="00A3260A" w:rsidRPr="00983688" w:rsidRDefault="00A3260A" w:rsidP="00A3260A">
      <w:pPr>
        <w:rPr>
          <w:rFonts w:eastAsiaTheme="minorHAnsi"/>
        </w:rPr>
      </w:pPr>
      <w:r w:rsidRPr="00983688">
        <w:rPr>
          <w:rFonts w:eastAsiaTheme="minorHAnsi"/>
        </w:rPr>
        <w:t>For the purposes of this payment policy, “Health Plan” means a health plan that has adopted this payment policy and that is operated or administered, in whole or in part, by Centene Management Company, LLC, or any other of such health plan’s affiliates, as applicable.</w:t>
      </w:r>
    </w:p>
    <w:p w:rsidR="00A3260A" w:rsidRPr="00983688" w:rsidRDefault="00A3260A" w:rsidP="00A3260A">
      <w:pPr>
        <w:rPr>
          <w:rFonts w:eastAsiaTheme="minorHAnsi"/>
        </w:rPr>
      </w:pPr>
    </w:p>
    <w:p w:rsidR="00A3260A" w:rsidRPr="00983688" w:rsidRDefault="00A3260A" w:rsidP="00A3260A">
      <w:pPr>
        <w:rPr>
          <w:rFonts w:asciiTheme="minorHAnsi" w:eastAsiaTheme="minorHAnsi" w:hAnsiTheme="minorHAnsi" w:cstheme="minorBidi"/>
        </w:rPr>
      </w:pPr>
      <w:r w:rsidRPr="00983688">
        <w:rPr>
          <w:rFonts w:eastAsiaTheme="minorHAnsi"/>
        </w:rPr>
        <w:t xml:space="preserve">The purpose of this payment policy is to provide a guide to payment, which is a component of the guidelines used to assist in making coverage and payment determinations and administering benefits. It does not constitute a contract or guarantee regarding payment or results. Coverage and payment determinations and the administration of benefits are subject to all terms, conditions, exclusions and limitations of the coverage documents (e.g., evidence of coverage, certificate of coverage, policy, contract of insurance, etc.), as well as to state and federal requirements and applicable plan-level administrative policies and procedures. </w:t>
      </w:r>
      <w:r w:rsidRPr="00983688">
        <w:rPr>
          <w:rFonts w:asciiTheme="minorHAnsi" w:eastAsiaTheme="minorHAnsi" w:hAnsiTheme="minorHAnsi" w:cstheme="minorBidi"/>
        </w:rPr>
        <w:t xml:space="preserve"> </w:t>
      </w:r>
      <w:r w:rsidRPr="00983688">
        <w:rPr>
          <w:rFonts w:eastAsiaTheme="minorHAnsi"/>
        </w:rPr>
        <w:t xml:space="preserve"> </w:t>
      </w:r>
    </w:p>
    <w:p w:rsidR="00A3260A" w:rsidRPr="00983688" w:rsidRDefault="00A3260A" w:rsidP="00A3260A">
      <w:pPr>
        <w:rPr>
          <w:rFonts w:asciiTheme="minorHAnsi" w:eastAsiaTheme="minorHAnsi" w:hAnsiTheme="minorHAnsi" w:cstheme="minorBidi"/>
        </w:rPr>
      </w:pPr>
    </w:p>
    <w:p w:rsidR="00A3260A" w:rsidRPr="00983688" w:rsidRDefault="00A3260A" w:rsidP="00A3260A">
      <w:pPr>
        <w:rPr>
          <w:color w:val="002868"/>
        </w:rPr>
      </w:pPr>
      <w:r w:rsidRPr="00983688">
        <w:rPr>
          <w:rFonts w:eastAsiaTheme="minorHAnsi"/>
        </w:rPr>
        <w:t>This payment policy is effective as of the date determined by Health Plan. The date of posting may not be the effective date of this payment policy. This payment policy may be subject to applicable legal and regulatory requirements relating to provider notification. If there is a discrepancy between the effective date of this payment policy and any applicable legal or regulatory requirement, the requirements of law and regulation shall govern. Health Plan retains the right to change, amend or withdraw this payment policy, and additional payment policies may be developed and adopted as needed, at any time.</w:t>
      </w:r>
    </w:p>
    <w:p w:rsidR="00A3260A" w:rsidRPr="00983688" w:rsidRDefault="00A3260A" w:rsidP="00A3260A">
      <w:pPr>
        <w:rPr>
          <w:rFonts w:eastAsiaTheme="minorHAnsi"/>
        </w:rPr>
      </w:pPr>
    </w:p>
    <w:p w:rsidR="00A3260A" w:rsidRPr="00B114A7" w:rsidRDefault="00A3260A" w:rsidP="00A3260A">
      <w:pPr>
        <w:rPr>
          <w:rFonts w:eastAsiaTheme="minorHAnsi"/>
        </w:rPr>
      </w:pPr>
      <w:r w:rsidRPr="00983688">
        <w:rPr>
          <w:rFonts w:eastAsiaTheme="minorHAnsi"/>
        </w:rPr>
        <w:t xml:space="preserve">This payment policy does not constitute medical advice, medical treatment or medical care.  It is not intended to dictate to providers how to practice medicine. Providers are expected to exercise professional medical judgment in providing the most appropriate care, and are solely responsible for the medical advice and treatment of members.  This payment policy is not intended to recommend treatment for members. Members should consult with their treating physician in connection with diagnosis and treatment decisions. </w:t>
      </w:r>
    </w:p>
    <w:p w:rsidR="00A3260A" w:rsidRPr="00983688" w:rsidRDefault="00A3260A" w:rsidP="00A3260A">
      <w:pPr>
        <w:rPr>
          <w:rFonts w:eastAsiaTheme="minorHAnsi"/>
        </w:rPr>
      </w:pPr>
    </w:p>
    <w:p w:rsidR="00A3260A" w:rsidRPr="00983688" w:rsidRDefault="00A3260A" w:rsidP="00A3260A">
      <w:pPr>
        <w:rPr>
          <w:rFonts w:eastAsiaTheme="minorHAnsi"/>
        </w:rPr>
      </w:pPr>
      <w:r w:rsidRPr="00983688">
        <w:rPr>
          <w:rFonts w:eastAsiaTheme="minorHAnsi"/>
        </w:rPr>
        <w:t>Providers referred to in this policy are independent contractors who exercise independent judgment and over whom Health Plan has no control or right of control.  Providers are not agents or employees of Health Plan.</w:t>
      </w:r>
    </w:p>
    <w:p w:rsidR="00A3260A" w:rsidRPr="00983688" w:rsidRDefault="00A3260A" w:rsidP="00A3260A">
      <w:pPr>
        <w:rPr>
          <w:rFonts w:eastAsiaTheme="minorHAnsi"/>
        </w:rPr>
      </w:pPr>
    </w:p>
    <w:p w:rsidR="00A3260A" w:rsidRPr="00983688" w:rsidRDefault="00A3260A" w:rsidP="00A3260A">
      <w:pPr>
        <w:rPr>
          <w:rFonts w:eastAsiaTheme="minorHAnsi"/>
        </w:rPr>
      </w:pPr>
      <w:r w:rsidRPr="00983688">
        <w:rPr>
          <w:rFonts w:eastAsiaTheme="minorHAnsi"/>
        </w:rPr>
        <w:t xml:space="preserve">This payment policy is the property of </w:t>
      </w:r>
      <w:r w:rsidRPr="00983688">
        <w:rPr>
          <w:rFonts w:eastAsiaTheme="minorHAnsi"/>
          <w:iCs/>
        </w:rPr>
        <w:t>Centene Corporation</w:t>
      </w:r>
      <w:r w:rsidRPr="00983688">
        <w:rPr>
          <w:rFonts w:eastAsiaTheme="minorHAnsi"/>
        </w:rPr>
        <w:t xml:space="preserve">. Unauthorized copying, use, and distribution of this payment policy or any information contained herein are strictly prohibited.  Providers, members and their representatives are bound to the terms and conditions expressed herein through the terms of their contracts.  Where no such contract exists, providers, members and their representatives agree to be bound by such terms and conditions by providing services to members and/or submitting claims for payment for such services.  </w:t>
      </w:r>
    </w:p>
    <w:p w:rsidR="00A3260A" w:rsidRPr="00983688" w:rsidRDefault="00A3260A" w:rsidP="00A3260A">
      <w:pPr>
        <w:autoSpaceDE w:val="0"/>
        <w:autoSpaceDN w:val="0"/>
        <w:adjustRightInd w:val="0"/>
        <w:rPr>
          <w:rFonts w:eastAsiaTheme="minorHAnsi"/>
          <w:color w:val="000000"/>
        </w:rPr>
      </w:pPr>
    </w:p>
    <w:p w:rsidR="00A3260A" w:rsidRPr="00983688" w:rsidRDefault="00A3260A" w:rsidP="00A3260A">
      <w:pPr>
        <w:autoSpaceDE w:val="0"/>
        <w:autoSpaceDN w:val="0"/>
        <w:adjustRightInd w:val="0"/>
        <w:rPr>
          <w:rFonts w:eastAsiaTheme="minorHAnsi"/>
          <w:color w:val="000000"/>
        </w:rPr>
      </w:pPr>
      <w:r w:rsidRPr="00983688">
        <w:rPr>
          <w:rFonts w:eastAsiaTheme="minorHAnsi"/>
          <w:b/>
          <w:color w:val="000000"/>
        </w:rPr>
        <w:t>Note: For Medicaid members</w:t>
      </w:r>
      <w:r w:rsidRPr="00983688">
        <w:rPr>
          <w:rFonts w:eastAsiaTheme="minorHAnsi"/>
          <w:color w:val="000000"/>
        </w:rPr>
        <w:t>, when state Medicaid coverage provisions conflict with the coverage provisions in this payment policy, state Medicaid coverage provisions take precedence. Please refer to the state Medicaid manual for any coverage provisions pertaining to this payment policy.</w:t>
      </w:r>
    </w:p>
    <w:p w:rsidR="00A3260A" w:rsidRPr="00983688" w:rsidRDefault="00A3260A" w:rsidP="00A3260A">
      <w:pPr>
        <w:rPr>
          <w:rFonts w:eastAsiaTheme="minorHAnsi"/>
        </w:rPr>
      </w:pPr>
    </w:p>
    <w:p w:rsidR="00A3260A" w:rsidRPr="00983688" w:rsidRDefault="00A3260A" w:rsidP="00A3260A">
      <w:pPr>
        <w:autoSpaceDE w:val="0"/>
        <w:autoSpaceDN w:val="0"/>
        <w:adjustRightInd w:val="0"/>
        <w:rPr>
          <w:rFonts w:eastAsiaTheme="minorHAnsi"/>
          <w:color w:val="000000"/>
        </w:rPr>
      </w:pPr>
      <w:r w:rsidRPr="00983688">
        <w:rPr>
          <w:rFonts w:eastAsiaTheme="minorHAnsi"/>
          <w:b/>
          <w:bCs/>
          <w:color w:val="000000"/>
        </w:rPr>
        <w:t xml:space="preserve">Note: For Medicare members, </w:t>
      </w:r>
      <w:r w:rsidRPr="00983688">
        <w:rPr>
          <w:rFonts w:eastAsiaTheme="minorHAnsi"/>
          <w:color w:val="000000"/>
        </w:rPr>
        <w:t xml:space="preserve">to ensure consistency with the Medicare National Coverage Determinations (NCD) and Local Coverage Determinations (LCD), all applicable NCDs and LCDs should be reviewed </w:t>
      </w:r>
      <w:r w:rsidRPr="00983688">
        <w:rPr>
          <w:rFonts w:eastAsiaTheme="minorHAnsi"/>
          <w:color w:val="000000"/>
          <w:u w:val="single"/>
        </w:rPr>
        <w:t>prior to</w:t>
      </w:r>
      <w:r w:rsidRPr="00983688">
        <w:rPr>
          <w:rFonts w:eastAsiaTheme="minorHAnsi"/>
          <w:color w:val="000000"/>
        </w:rPr>
        <w:t xml:space="preserve"> applying the criteria set forth in this payment policy. Refer to the CMS website at </w:t>
      </w:r>
      <w:hyperlink r:id="rId16" w:history="1">
        <w:r w:rsidRPr="00983688">
          <w:rPr>
            <w:rFonts w:eastAsiaTheme="minorHAnsi"/>
            <w:color w:val="000000"/>
            <w:u w:val="single"/>
          </w:rPr>
          <w:t>http://www.cms.gov</w:t>
        </w:r>
      </w:hyperlink>
      <w:r w:rsidRPr="00983688">
        <w:rPr>
          <w:rFonts w:eastAsiaTheme="minorHAnsi"/>
          <w:color w:val="000000"/>
        </w:rPr>
        <w:t xml:space="preserve"> for additional information. </w:t>
      </w:r>
    </w:p>
    <w:p w:rsidR="00A3260A" w:rsidRPr="00983688" w:rsidRDefault="00A3260A" w:rsidP="00A3260A">
      <w:pPr>
        <w:rPr>
          <w:rFonts w:eastAsiaTheme="minorHAnsi"/>
          <w:b/>
        </w:rPr>
      </w:pPr>
    </w:p>
    <w:p w:rsidR="00A3260A" w:rsidRPr="00983688" w:rsidRDefault="00A3260A" w:rsidP="00A3260A">
      <w:pPr>
        <w:rPr>
          <w:rFonts w:eastAsiaTheme="minorHAnsi"/>
          <w:iCs/>
        </w:rPr>
      </w:pPr>
      <w:r w:rsidRPr="00983688">
        <w:rPr>
          <w:rFonts w:eastAsiaTheme="minorHAnsi"/>
          <w:iCs/>
        </w:rPr>
        <w:t>©201</w:t>
      </w:r>
      <w:r>
        <w:rPr>
          <w:rFonts w:eastAsiaTheme="minorHAnsi"/>
          <w:iCs/>
        </w:rPr>
        <w:t>8</w:t>
      </w:r>
      <w:r w:rsidRPr="00983688">
        <w:rPr>
          <w:rFonts w:eastAsiaTheme="minorHAnsi"/>
          <w:iCs/>
        </w:rPr>
        <w:t xml:space="preserve"> Centene Corporation. All rights reserved.  All materials are exclusively owned by Centene Corporation and are protected by United States copyright law and international copyright law.  No part of this publication may be reproduced, copied, modified, distributed, displayed, stored in a retrieval system, transmitted in any form or by any means, or otherwise published without the prior written permission of Centene Corporation. You may not alter or remove any trademark, copyright or other notice contained herein. Centene</w:t>
      </w:r>
      <w:r w:rsidRPr="00983688">
        <w:rPr>
          <w:rFonts w:eastAsiaTheme="minorHAnsi"/>
          <w:iCs/>
          <w:vertAlign w:val="superscript"/>
        </w:rPr>
        <w:t>®</w:t>
      </w:r>
      <w:r w:rsidRPr="00983688">
        <w:rPr>
          <w:rFonts w:eastAsiaTheme="minorHAnsi"/>
          <w:iCs/>
        </w:rPr>
        <w:t xml:space="preserve"> and Centene Corporation</w:t>
      </w:r>
      <w:r w:rsidRPr="00983688">
        <w:rPr>
          <w:rFonts w:eastAsiaTheme="minorHAnsi"/>
          <w:iCs/>
          <w:vertAlign w:val="superscript"/>
        </w:rPr>
        <w:t>®</w:t>
      </w:r>
      <w:r w:rsidRPr="00983688">
        <w:rPr>
          <w:rFonts w:eastAsiaTheme="minorHAnsi"/>
          <w:iCs/>
        </w:rPr>
        <w:t xml:space="preserve"> are registered trademarks exclusively owned by Centene Corporation.</w:t>
      </w:r>
    </w:p>
    <w:p w:rsidR="00A3260A" w:rsidRPr="00B114A7" w:rsidRDefault="00A3260A" w:rsidP="00A3260A"/>
    <w:p w:rsidR="00C75BD4" w:rsidRPr="00B114A7" w:rsidRDefault="00C75BD4" w:rsidP="00AF5490"/>
    <w:sectPr w:rsidR="00C75BD4" w:rsidRPr="00B114A7" w:rsidSect="00480C09">
      <w:type w:val="continuous"/>
      <w:pgSz w:w="12240" w:h="15840" w:code="1"/>
      <w:pgMar w:top="1440" w:right="1440" w:bottom="1440" w:left="144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540" w:rsidRDefault="00661540">
      <w:r>
        <w:separator/>
      </w:r>
    </w:p>
  </w:endnote>
  <w:endnote w:type="continuationSeparator" w:id="0">
    <w:p w:rsidR="00661540" w:rsidRDefault="00661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25A" w:rsidRPr="00D574CA" w:rsidRDefault="00D574CA" w:rsidP="00D574CA">
    <w:pPr>
      <w:pStyle w:val="Footer"/>
      <w:jc w:val="center"/>
    </w:pPr>
    <w:r>
      <w:t xml:space="preserve">Page </w:t>
    </w:r>
    <w:r>
      <w:rPr>
        <w:b/>
        <w:bCs/>
      </w:rPr>
      <w:fldChar w:fldCharType="begin"/>
    </w:r>
    <w:r>
      <w:rPr>
        <w:b/>
        <w:bCs/>
      </w:rPr>
      <w:instrText xml:space="preserve"> PAGE </w:instrText>
    </w:r>
    <w:r>
      <w:rPr>
        <w:b/>
        <w:bCs/>
      </w:rPr>
      <w:fldChar w:fldCharType="separate"/>
    </w:r>
    <w:r w:rsidR="007E6622">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7E6622">
      <w:rPr>
        <w:b/>
        <w:bCs/>
        <w:noProof/>
      </w:rPr>
      <w:t>3</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AAB" w:rsidRDefault="002C6AAB" w:rsidP="002C6AAB">
    <w:pPr>
      <w:pStyle w:val="Footer"/>
      <w:jc w:val="center"/>
    </w:pPr>
    <w:r>
      <w:t xml:space="preserve">Page </w:t>
    </w:r>
    <w:r>
      <w:fldChar w:fldCharType="begin"/>
    </w:r>
    <w:r>
      <w:instrText xml:space="preserve"> PAGE   \* MERGEFORMAT </w:instrText>
    </w:r>
    <w:r>
      <w:fldChar w:fldCharType="separate"/>
    </w:r>
    <w:r w:rsidR="007E6622">
      <w:rPr>
        <w:noProof/>
      </w:rPr>
      <w:t>1</w:t>
    </w:r>
    <w:r>
      <w:fldChar w:fldCharType="end"/>
    </w:r>
    <w:r>
      <w:t xml:space="preserve"> of </w:t>
    </w:r>
    <w:r w:rsidR="00661540">
      <w:fldChar w:fldCharType="begin"/>
    </w:r>
    <w:r w:rsidR="00661540">
      <w:instrText xml:space="preserve"> NUMPAGES   \* MERGEFORMAT </w:instrText>
    </w:r>
    <w:r w:rsidR="00661540">
      <w:fldChar w:fldCharType="separate"/>
    </w:r>
    <w:r w:rsidR="007E6622">
      <w:rPr>
        <w:noProof/>
      </w:rPr>
      <w:t>1</w:t>
    </w:r>
    <w:r w:rsidR="0066154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540" w:rsidRDefault="00661540">
      <w:r>
        <w:separator/>
      </w:r>
    </w:p>
  </w:footnote>
  <w:footnote w:type="continuationSeparator" w:id="0">
    <w:p w:rsidR="00661540" w:rsidRDefault="00661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4CA" w:rsidRPr="00B777AF" w:rsidRDefault="00825819" w:rsidP="00480C09">
    <w:pPr>
      <w:rPr>
        <w:rFonts w:ascii="Times New Roman Bold" w:hAnsi="Times New Roman Bold"/>
        <w:b/>
        <w:bCs/>
        <w:smallCaps/>
        <w:color w:val="00548C"/>
        <w:sz w:val="28"/>
      </w:rPr>
    </w:pPr>
    <w:r>
      <w:rPr>
        <w:rFonts w:ascii="Times New Roman Bold" w:hAnsi="Times New Roman Bold"/>
        <w:b/>
        <w:bCs/>
        <w:smallCaps/>
        <w:color w:val="00548C"/>
        <w:sz w:val="28"/>
      </w:rPr>
      <w:t xml:space="preserve">Payment </w:t>
    </w:r>
    <w:r w:rsidR="00D574CA" w:rsidRPr="00B777AF">
      <w:rPr>
        <w:rFonts w:ascii="Times New Roman Bold" w:hAnsi="Times New Roman Bold"/>
        <w:b/>
        <w:bCs/>
        <w:smallCaps/>
        <w:color w:val="00548C"/>
        <w:sz w:val="28"/>
      </w:rPr>
      <w:t>Policy</w:t>
    </w:r>
    <w:r w:rsidR="00B777AF" w:rsidRPr="00B777AF">
      <w:rPr>
        <w:rFonts w:ascii="Times New Roman Bold" w:hAnsi="Times New Roman Bold"/>
        <w:b/>
        <w:bCs/>
        <w:smallCaps/>
        <w:color w:val="00548C"/>
        <w:sz w:val="28"/>
      </w:rPr>
      <w:tab/>
    </w:r>
    <w:r w:rsidR="00480C09">
      <w:rPr>
        <w:rFonts w:ascii="Times New Roman Bold" w:hAnsi="Times New Roman Bold"/>
        <w:b/>
        <w:bCs/>
        <w:smallCaps/>
        <w:color w:val="00548C"/>
        <w:sz w:val="28"/>
      </w:rPr>
      <w:tab/>
    </w:r>
    <w:r w:rsidR="00480C09">
      <w:rPr>
        <w:rFonts w:ascii="Times New Roman Bold" w:hAnsi="Times New Roman Bold"/>
        <w:b/>
        <w:bCs/>
        <w:smallCaps/>
        <w:color w:val="00548C"/>
        <w:sz w:val="28"/>
      </w:rPr>
      <w:tab/>
    </w:r>
    <w:r w:rsidR="00480C09">
      <w:rPr>
        <w:rFonts w:ascii="Times New Roman Bold" w:hAnsi="Times New Roman Bold"/>
        <w:b/>
        <w:bCs/>
        <w:smallCaps/>
        <w:color w:val="00548C"/>
        <w:sz w:val="28"/>
      </w:rPr>
      <w:tab/>
    </w:r>
    <w:r w:rsidR="00480C09">
      <w:rPr>
        <w:rFonts w:ascii="Times New Roman Bold" w:hAnsi="Times New Roman Bold"/>
        <w:b/>
        <w:bCs/>
        <w:smallCaps/>
        <w:color w:val="00548C"/>
        <w:sz w:val="28"/>
      </w:rPr>
      <w:tab/>
    </w:r>
    <w:r w:rsidR="00480C09">
      <w:rPr>
        <w:rFonts w:ascii="Times New Roman Bold" w:hAnsi="Times New Roman Bold"/>
        <w:b/>
        <w:bCs/>
        <w:smallCaps/>
        <w:color w:val="00548C"/>
        <w:sz w:val="28"/>
      </w:rPr>
      <w:tab/>
    </w:r>
    <w:r w:rsidR="00480C09">
      <w:rPr>
        <w:rFonts w:ascii="Times New Roman Bold" w:hAnsi="Times New Roman Bold"/>
        <w:b/>
        <w:bCs/>
        <w:smallCaps/>
        <w:color w:val="00548C"/>
        <w:sz w:val="28"/>
      </w:rPr>
      <w:tab/>
    </w:r>
    <w:r w:rsidR="00480C09">
      <w:rPr>
        <w:rFonts w:ascii="Times New Roman Bold" w:hAnsi="Times New Roman Bold"/>
        <w:b/>
        <w:bCs/>
        <w:smallCaps/>
        <w:color w:val="00548C"/>
        <w:sz w:val="28"/>
      </w:rPr>
      <w:tab/>
    </w:r>
    <w:r w:rsidR="00A20F73">
      <w:rPr>
        <w:noProof/>
        <w:color w:val="00548C"/>
      </w:rPr>
      <w:drawing>
        <wp:inline distT="0" distB="0" distL="0" distR="0" wp14:anchorId="39F6FFF7" wp14:editId="39F6FFF8">
          <wp:extent cx="914400" cy="238125"/>
          <wp:effectExtent l="0" t="0" r="0" b="9525"/>
          <wp:docPr id="1" name="Picture 3" descr="http://intranet/companywidesites/marketing/Corporate%20Marketing%20Materials/Centene%20Corporate%20Logos/Centene%20Color%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tranet/companywidesites/marketing/Corporate%20Marketing%20Materials/Centene%20Corporate%20Logos/Centene%20Color%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p>
  <w:p w:rsidR="00DD025A" w:rsidRPr="00B777AF" w:rsidRDefault="00460AEE" w:rsidP="00B777AF">
    <w:pPr>
      <w:rPr>
        <w:color w:val="00548C"/>
      </w:rPr>
    </w:pPr>
    <w:r>
      <w:rPr>
        <w:rFonts w:ascii="Times New Roman Bold" w:hAnsi="Times New Roman Bold"/>
        <w:b/>
        <w:bCs/>
        <w:color w:val="00548C"/>
      </w:rPr>
      <w:t>INPATIENT ONLY PROCEDURES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5E0" w:rsidRDefault="00A20F73" w:rsidP="00B777AF">
    <w:pPr>
      <w:pStyle w:val="Header"/>
      <w:jc w:val="right"/>
    </w:pPr>
    <w:r>
      <w:rPr>
        <w:noProof/>
      </w:rPr>
      <w:drawing>
        <wp:inline distT="0" distB="0" distL="0" distR="0" wp14:anchorId="39F6FFF9" wp14:editId="39F6FFFA">
          <wp:extent cx="1371600" cy="352425"/>
          <wp:effectExtent l="0" t="0" r="0" b="9525"/>
          <wp:docPr id="2" name="Picture 2" descr="http://intranet/companywidesites/marketing/Corporate%20Marketing%20Materials/Centene%20Corporate%20Logos/Centene%20Color%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companywidesites/marketing/Corporate%20Marketing%20Materials/Centene%20Corporate%20Logos/Centene%20Color%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52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F5AE7"/>
    <w:multiLevelType w:val="hybridMultilevel"/>
    <w:tmpl w:val="371A4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687B32"/>
    <w:multiLevelType w:val="hybridMultilevel"/>
    <w:tmpl w:val="3CC60C38"/>
    <w:lvl w:ilvl="0" w:tplc="D020EC3C">
      <w:start w:val="1"/>
      <w:numFmt w:val="decimal"/>
      <w:lvlText w:val="%1."/>
      <w:lvlJc w:val="left"/>
      <w:pPr>
        <w:ind w:left="720" w:hanging="360"/>
      </w:pPr>
      <w:rPr>
        <w:rFonts w:ascii="Cambria" w:hAnsi="Cambria" w:hint="default"/>
        <w:b w:val="0"/>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E7697"/>
    <w:multiLevelType w:val="hybridMultilevel"/>
    <w:tmpl w:val="96D85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E0E99"/>
    <w:multiLevelType w:val="hybridMultilevel"/>
    <w:tmpl w:val="5FFA82B8"/>
    <w:lvl w:ilvl="0" w:tplc="04090019">
      <w:start w:val="1"/>
      <w:numFmt w:val="lowerLetter"/>
      <w:lvlText w:val="%1."/>
      <w:lvlJc w:val="left"/>
      <w:pPr>
        <w:ind w:left="1440" w:hanging="360"/>
      </w:pPr>
    </w:lvl>
    <w:lvl w:ilvl="1" w:tplc="0409001B">
      <w:start w:val="1"/>
      <w:numFmt w:val="lowerRoman"/>
      <w:lvlText w:val="%2."/>
      <w:lvlJc w:val="right"/>
      <w:pPr>
        <w:ind w:left="2160" w:hanging="360"/>
      </w:pPr>
      <w:rPr>
        <w:rFonts w:hint="default"/>
        <w:sz w:val="2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E7A6984"/>
    <w:multiLevelType w:val="hybridMultilevel"/>
    <w:tmpl w:val="387EA7BC"/>
    <w:lvl w:ilvl="0" w:tplc="5C220D9E">
      <w:start w:val="1"/>
      <w:numFmt w:val="decimal"/>
      <w:lvlText w:val="%1."/>
      <w:lvlJc w:val="left"/>
      <w:pPr>
        <w:ind w:left="720" w:hanging="360"/>
      </w:pPr>
      <w:rPr>
        <w:rFonts w:hint="default"/>
        <w:b w:val="0"/>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500B2"/>
    <w:multiLevelType w:val="hybridMultilevel"/>
    <w:tmpl w:val="CB5AF886"/>
    <w:lvl w:ilvl="0" w:tplc="6CC06064">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01436"/>
    <w:multiLevelType w:val="hybridMultilevel"/>
    <w:tmpl w:val="D236E140"/>
    <w:lvl w:ilvl="0" w:tplc="5C220D9E">
      <w:start w:val="1"/>
      <w:numFmt w:val="decimal"/>
      <w:lvlText w:val="%1."/>
      <w:lvlJc w:val="left"/>
      <w:pPr>
        <w:ind w:left="720" w:hanging="360"/>
      </w:pPr>
      <w:rPr>
        <w:rFonts w:hint="default"/>
        <w:b w:val="0"/>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75F0A"/>
    <w:multiLevelType w:val="hybridMultilevel"/>
    <w:tmpl w:val="D236E140"/>
    <w:lvl w:ilvl="0" w:tplc="5C220D9E">
      <w:start w:val="1"/>
      <w:numFmt w:val="decimal"/>
      <w:lvlText w:val="%1."/>
      <w:lvlJc w:val="left"/>
      <w:pPr>
        <w:ind w:left="720" w:hanging="360"/>
      </w:pPr>
      <w:rPr>
        <w:rFonts w:hint="default"/>
        <w:b w:val="0"/>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51B1E"/>
    <w:multiLevelType w:val="hybridMultilevel"/>
    <w:tmpl w:val="B204E92A"/>
    <w:lvl w:ilvl="0" w:tplc="26CA68AC">
      <w:start w:val="1"/>
      <w:numFmt w:val="upperRoman"/>
      <w:lvlText w:val="%1."/>
      <w:lvlJc w:val="left"/>
      <w:pPr>
        <w:ind w:left="720" w:hanging="360"/>
      </w:pPr>
      <w:rPr>
        <w:rFonts w:hint="default"/>
        <w:b/>
      </w:rPr>
    </w:lvl>
    <w:lvl w:ilvl="1" w:tplc="56CC320A">
      <w:start w:val="1"/>
      <w:numFmt w:val="upperLetter"/>
      <w:lvlText w:val="%2."/>
      <w:lvlJc w:val="left"/>
      <w:pPr>
        <w:ind w:left="1440" w:hanging="360"/>
      </w:pPr>
      <w:rPr>
        <w:b/>
      </w:rPr>
    </w:lvl>
    <w:lvl w:ilvl="2" w:tplc="B0D8E88E">
      <w:start w:val="1"/>
      <w:numFmt w:val="decimal"/>
      <w:lvlText w:val="%3."/>
      <w:lvlJc w:val="left"/>
      <w:pPr>
        <w:ind w:left="2160" w:hanging="180"/>
      </w:pPr>
      <w:rPr>
        <w:b/>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B33A22"/>
    <w:multiLevelType w:val="hybridMultilevel"/>
    <w:tmpl w:val="CBF02FF6"/>
    <w:lvl w:ilvl="0" w:tplc="0409000F">
      <w:start w:val="1"/>
      <w:numFmt w:val="decimal"/>
      <w:lvlText w:val="%1."/>
      <w:lvlJc w:val="left"/>
      <w:pPr>
        <w:ind w:left="720" w:hanging="360"/>
      </w:pPr>
      <w:rPr>
        <w:rFonts w:hint="default"/>
        <w:b w:val="0"/>
        <w:i w:val="0"/>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497053"/>
    <w:multiLevelType w:val="hybridMultilevel"/>
    <w:tmpl w:val="BE262E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86063C"/>
    <w:multiLevelType w:val="hybridMultilevel"/>
    <w:tmpl w:val="04382478"/>
    <w:lvl w:ilvl="0" w:tplc="5C220D9E">
      <w:start w:val="1"/>
      <w:numFmt w:val="decimal"/>
      <w:lvlText w:val="%1."/>
      <w:lvlJc w:val="left"/>
      <w:pPr>
        <w:ind w:left="720" w:hanging="360"/>
      </w:pPr>
      <w:rPr>
        <w:rFonts w:hint="default"/>
        <w:b w:val="0"/>
      </w:rPr>
    </w:lvl>
    <w:lvl w:ilvl="1" w:tplc="6CC06064">
      <w:start w:val="1"/>
      <w:numFmt w:val="lowerLetter"/>
      <w:lvlText w:val="%2."/>
      <w:lvlJc w:val="left"/>
      <w:pPr>
        <w:ind w:left="144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6B68E6"/>
    <w:multiLevelType w:val="hybridMultilevel"/>
    <w:tmpl w:val="F330294A"/>
    <w:lvl w:ilvl="0" w:tplc="D0FE5CC8">
      <w:start w:val="1"/>
      <w:numFmt w:val="lowerRoman"/>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15:restartNumberingAfterBreak="0">
    <w:nsid w:val="3A231C77"/>
    <w:multiLevelType w:val="hybridMultilevel"/>
    <w:tmpl w:val="553682CE"/>
    <w:lvl w:ilvl="0" w:tplc="A244BB9A">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EBE345C"/>
    <w:multiLevelType w:val="hybridMultilevel"/>
    <w:tmpl w:val="387EA7BC"/>
    <w:lvl w:ilvl="0" w:tplc="5C220D9E">
      <w:start w:val="1"/>
      <w:numFmt w:val="decimal"/>
      <w:lvlText w:val="%1."/>
      <w:lvlJc w:val="left"/>
      <w:pPr>
        <w:ind w:left="720" w:hanging="360"/>
      </w:pPr>
      <w:rPr>
        <w:rFonts w:hint="default"/>
        <w:b w:val="0"/>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D365D0"/>
    <w:multiLevelType w:val="hybridMultilevel"/>
    <w:tmpl w:val="D55A7940"/>
    <w:lvl w:ilvl="0" w:tplc="F85C9D98">
      <w:start w:val="1"/>
      <w:numFmt w:val="upperLetter"/>
      <w:lvlText w:val="%1."/>
      <w:lvlJc w:val="left"/>
      <w:pPr>
        <w:ind w:left="720" w:hanging="360"/>
      </w:pPr>
      <w:rPr>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0746AA"/>
    <w:multiLevelType w:val="hybridMultilevel"/>
    <w:tmpl w:val="7B9A472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C8B1A41"/>
    <w:multiLevelType w:val="hybridMultilevel"/>
    <w:tmpl w:val="C08E9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9C1206"/>
    <w:multiLevelType w:val="hybridMultilevel"/>
    <w:tmpl w:val="22849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D1434D"/>
    <w:multiLevelType w:val="hybridMultilevel"/>
    <w:tmpl w:val="3806A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600535"/>
    <w:multiLevelType w:val="hybridMultilevel"/>
    <w:tmpl w:val="0A58192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D1E3D0A"/>
    <w:multiLevelType w:val="hybridMultilevel"/>
    <w:tmpl w:val="6CF4423A"/>
    <w:lvl w:ilvl="0" w:tplc="6BAC0802">
      <w:start w:val="1"/>
      <w:numFmt w:val="upperRoman"/>
      <w:lvlText w:val="%1."/>
      <w:lvlJc w:val="left"/>
      <w:pPr>
        <w:ind w:left="720" w:hanging="360"/>
      </w:pPr>
      <w:rPr>
        <w:rFonts w:hint="default"/>
        <w:b/>
        <w:i w:val="0"/>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58AADE0C">
      <w:start w:val="1"/>
      <w:numFmt w:val="lowerRoman"/>
      <w:lvlText w:val="%5."/>
      <w:lvlJc w:val="left"/>
      <w:pPr>
        <w:ind w:left="3600" w:hanging="360"/>
      </w:pPr>
      <w:rPr>
        <w:rFonts w:hint="default"/>
        <w:sz w:val="20"/>
      </w:rPr>
    </w:lvl>
    <w:lvl w:ilvl="5" w:tplc="04090017">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3E10B5"/>
    <w:multiLevelType w:val="hybridMultilevel"/>
    <w:tmpl w:val="618CB542"/>
    <w:lvl w:ilvl="0" w:tplc="41745BB8">
      <w:start w:val="1"/>
      <w:numFmt w:val="bullet"/>
      <w:lvlText w:val=""/>
      <w:lvlJc w:val="left"/>
      <w:pPr>
        <w:tabs>
          <w:tab w:val="num" w:pos="720"/>
        </w:tabs>
        <w:ind w:left="720" w:hanging="360"/>
      </w:pPr>
      <w:rPr>
        <w:rFonts w:ascii="Symbol" w:hAnsi="Symbol" w:hint="default"/>
        <w:sz w:val="20"/>
      </w:rPr>
    </w:lvl>
    <w:lvl w:ilvl="1" w:tplc="28DA9A74" w:tentative="1">
      <w:start w:val="1"/>
      <w:numFmt w:val="bullet"/>
      <w:lvlText w:val="o"/>
      <w:lvlJc w:val="left"/>
      <w:pPr>
        <w:tabs>
          <w:tab w:val="num" w:pos="1440"/>
        </w:tabs>
        <w:ind w:left="1440" w:hanging="360"/>
      </w:pPr>
      <w:rPr>
        <w:rFonts w:ascii="Courier New" w:hAnsi="Courier New" w:hint="default"/>
        <w:sz w:val="20"/>
      </w:rPr>
    </w:lvl>
    <w:lvl w:ilvl="2" w:tplc="04F23BE2" w:tentative="1">
      <w:start w:val="1"/>
      <w:numFmt w:val="bullet"/>
      <w:lvlText w:val=""/>
      <w:lvlJc w:val="left"/>
      <w:pPr>
        <w:tabs>
          <w:tab w:val="num" w:pos="2160"/>
        </w:tabs>
        <w:ind w:left="2160" w:hanging="360"/>
      </w:pPr>
      <w:rPr>
        <w:rFonts w:ascii="Wingdings" w:hAnsi="Wingdings" w:hint="default"/>
        <w:sz w:val="20"/>
      </w:rPr>
    </w:lvl>
    <w:lvl w:ilvl="3" w:tplc="B36E250C" w:tentative="1">
      <w:start w:val="1"/>
      <w:numFmt w:val="bullet"/>
      <w:lvlText w:val=""/>
      <w:lvlJc w:val="left"/>
      <w:pPr>
        <w:tabs>
          <w:tab w:val="num" w:pos="2880"/>
        </w:tabs>
        <w:ind w:left="2880" w:hanging="360"/>
      </w:pPr>
      <w:rPr>
        <w:rFonts w:ascii="Wingdings" w:hAnsi="Wingdings" w:hint="default"/>
        <w:sz w:val="20"/>
      </w:rPr>
    </w:lvl>
    <w:lvl w:ilvl="4" w:tplc="A98011B6" w:tentative="1">
      <w:start w:val="1"/>
      <w:numFmt w:val="bullet"/>
      <w:lvlText w:val=""/>
      <w:lvlJc w:val="left"/>
      <w:pPr>
        <w:tabs>
          <w:tab w:val="num" w:pos="3600"/>
        </w:tabs>
        <w:ind w:left="3600" w:hanging="360"/>
      </w:pPr>
      <w:rPr>
        <w:rFonts w:ascii="Wingdings" w:hAnsi="Wingdings" w:hint="default"/>
        <w:sz w:val="20"/>
      </w:rPr>
    </w:lvl>
    <w:lvl w:ilvl="5" w:tplc="B5309476" w:tentative="1">
      <w:start w:val="1"/>
      <w:numFmt w:val="bullet"/>
      <w:lvlText w:val=""/>
      <w:lvlJc w:val="left"/>
      <w:pPr>
        <w:tabs>
          <w:tab w:val="num" w:pos="4320"/>
        </w:tabs>
        <w:ind w:left="4320" w:hanging="360"/>
      </w:pPr>
      <w:rPr>
        <w:rFonts w:ascii="Wingdings" w:hAnsi="Wingdings" w:hint="default"/>
        <w:sz w:val="20"/>
      </w:rPr>
    </w:lvl>
    <w:lvl w:ilvl="6" w:tplc="D5DCFE88" w:tentative="1">
      <w:start w:val="1"/>
      <w:numFmt w:val="bullet"/>
      <w:lvlText w:val=""/>
      <w:lvlJc w:val="left"/>
      <w:pPr>
        <w:tabs>
          <w:tab w:val="num" w:pos="5040"/>
        </w:tabs>
        <w:ind w:left="5040" w:hanging="360"/>
      </w:pPr>
      <w:rPr>
        <w:rFonts w:ascii="Wingdings" w:hAnsi="Wingdings" w:hint="default"/>
        <w:sz w:val="20"/>
      </w:rPr>
    </w:lvl>
    <w:lvl w:ilvl="7" w:tplc="700E33C4" w:tentative="1">
      <w:start w:val="1"/>
      <w:numFmt w:val="bullet"/>
      <w:lvlText w:val=""/>
      <w:lvlJc w:val="left"/>
      <w:pPr>
        <w:tabs>
          <w:tab w:val="num" w:pos="5760"/>
        </w:tabs>
        <w:ind w:left="5760" w:hanging="360"/>
      </w:pPr>
      <w:rPr>
        <w:rFonts w:ascii="Wingdings" w:hAnsi="Wingdings" w:hint="default"/>
        <w:sz w:val="20"/>
      </w:rPr>
    </w:lvl>
    <w:lvl w:ilvl="8" w:tplc="2C6EEB8C"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0"/>
  </w:num>
  <w:num w:numId="3">
    <w:abstractNumId w:val="8"/>
  </w:num>
  <w:num w:numId="4">
    <w:abstractNumId w:val="12"/>
  </w:num>
  <w:num w:numId="5">
    <w:abstractNumId w:val="13"/>
  </w:num>
  <w:num w:numId="6">
    <w:abstractNumId w:val="18"/>
  </w:num>
  <w:num w:numId="7">
    <w:abstractNumId w:val="19"/>
  </w:num>
  <w:num w:numId="8">
    <w:abstractNumId w:val="2"/>
  </w:num>
  <w:num w:numId="9">
    <w:abstractNumId w:val="15"/>
  </w:num>
  <w:num w:numId="10">
    <w:abstractNumId w:val="6"/>
  </w:num>
  <w:num w:numId="11">
    <w:abstractNumId w:val="21"/>
  </w:num>
  <w:num w:numId="12">
    <w:abstractNumId w:val="11"/>
  </w:num>
  <w:num w:numId="13">
    <w:abstractNumId w:val="10"/>
  </w:num>
  <w:num w:numId="14">
    <w:abstractNumId w:val="4"/>
  </w:num>
  <w:num w:numId="15">
    <w:abstractNumId w:val="7"/>
  </w:num>
  <w:num w:numId="16">
    <w:abstractNumId w:val="20"/>
  </w:num>
  <w:num w:numId="17">
    <w:abstractNumId w:val="16"/>
  </w:num>
  <w:num w:numId="18">
    <w:abstractNumId w:val="14"/>
  </w:num>
  <w:num w:numId="19">
    <w:abstractNumId w:val="5"/>
  </w:num>
  <w:num w:numId="20">
    <w:abstractNumId w:val="3"/>
  </w:num>
  <w:num w:numId="21">
    <w:abstractNumId w:val="17"/>
  </w:num>
  <w:num w:numId="22">
    <w:abstractNumId w:val="9"/>
  </w:num>
  <w:num w:numId="23">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view w:val="normal"/>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E9"/>
    <w:rsid w:val="00032D3F"/>
    <w:rsid w:val="000465DE"/>
    <w:rsid w:val="0004733E"/>
    <w:rsid w:val="00060509"/>
    <w:rsid w:val="00070805"/>
    <w:rsid w:val="00083740"/>
    <w:rsid w:val="00094136"/>
    <w:rsid w:val="000E43F3"/>
    <w:rsid w:val="000F10C2"/>
    <w:rsid w:val="001148A8"/>
    <w:rsid w:val="0014316D"/>
    <w:rsid w:val="00146C6E"/>
    <w:rsid w:val="00155045"/>
    <w:rsid w:val="00170B14"/>
    <w:rsid w:val="001818D7"/>
    <w:rsid w:val="0018239D"/>
    <w:rsid w:val="00185104"/>
    <w:rsid w:val="001962BE"/>
    <w:rsid w:val="00196689"/>
    <w:rsid w:val="00196935"/>
    <w:rsid w:val="0019746F"/>
    <w:rsid w:val="001D0D34"/>
    <w:rsid w:val="001D70D4"/>
    <w:rsid w:val="001E0991"/>
    <w:rsid w:val="001E7D12"/>
    <w:rsid w:val="0020675F"/>
    <w:rsid w:val="00220736"/>
    <w:rsid w:val="00230FE4"/>
    <w:rsid w:val="00233651"/>
    <w:rsid w:val="00254020"/>
    <w:rsid w:val="0025452A"/>
    <w:rsid w:val="00285997"/>
    <w:rsid w:val="00295229"/>
    <w:rsid w:val="002A39EE"/>
    <w:rsid w:val="002B0582"/>
    <w:rsid w:val="002C6AAB"/>
    <w:rsid w:val="002D019A"/>
    <w:rsid w:val="002E48E7"/>
    <w:rsid w:val="003140D6"/>
    <w:rsid w:val="00315E7E"/>
    <w:rsid w:val="00336E37"/>
    <w:rsid w:val="00350F22"/>
    <w:rsid w:val="003840CC"/>
    <w:rsid w:val="003D16FE"/>
    <w:rsid w:val="003D7BE7"/>
    <w:rsid w:val="003F3D44"/>
    <w:rsid w:val="0044693C"/>
    <w:rsid w:val="00460AEE"/>
    <w:rsid w:val="00472C6C"/>
    <w:rsid w:val="00480C09"/>
    <w:rsid w:val="00493710"/>
    <w:rsid w:val="00496BCF"/>
    <w:rsid w:val="00497AED"/>
    <w:rsid w:val="004A2DE7"/>
    <w:rsid w:val="004E0B99"/>
    <w:rsid w:val="004F6394"/>
    <w:rsid w:val="00505830"/>
    <w:rsid w:val="005103B8"/>
    <w:rsid w:val="0051633F"/>
    <w:rsid w:val="005423D4"/>
    <w:rsid w:val="00544509"/>
    <w:rsid w:val="005537B0"/>
    <w:rsid w:val="005776FD"/>
    <w:rsid w:val="00583376"/>
    <w:rsid w:val="005C17DF"/>
    <w:rsid w:val="005C3607"/>
    <w:rsid w:val="005D009F"/>
    <w:rsid w:val="005D5146"/>
    <w:rsid w:val="005D7B81"/>
    <w:rsid w:val="005E411E"/>
    <w:rsid w:val="005F051C"/>
    <w:rsid w:val="00632AA1"/>
    <w:rsid w:val="00641573"/>
    <w:rsid w:val="00644B6F"/>
    <w:rsid w:val="006474BB"/>
    <w:rsid w:val="00661540"/>
    <w:rsid w:val="006664E9"/>
    <w:rsid w:val="00674106"/>
    <w:rsid w:val="006C74DF"/>
    <w:rsid w:val="006F4D70"/>
    <w:rsid w:val="007163E2"/>
    <w:rsid w:val="00744250"/>
    <w:rsid w:val="007764CE"/>
    <w:rsid w:val="007A0BCC"/>
    <w:rsid w:val="007B07AE"/>
    <w:rsid w:val="007B50D0"/>
    <w:rsid w:val="007D4801"/>
    <w:rsid w:val="007E6622"/>
    <w:rsid w:val="007F1F19"/>
    <w:rsid w:val="00825819"/>
    <w:rsid w:val="00836B4D"/>
    <w:rsid w:val="00857C10"/>
    <w:rsid w:val="0086320D"/>
    <w:rsid w:val="00875924"/>
    <w:rsid w:val="00877EC7"/>
    <w:rsid w:val="00896E94"/>
    <w:rsid w:val="008B0705"/>
    <w:rsid w:val="008B44D4"/>
    <w:rsid w:val="008C6B3A"/>
    <w:rsid w:val="008D2F0C"/>
    <w:rsid w:val="00902C9B"/>
    <w:rsid w:val="009135E0"/>
    <w:rsid w:val="00915CA4"/>
    <w:rsid w:val="00923343"/>
    <w:rsid w:val="00950820"/>
    <w:rsid w:val="00961071"/>
    <w:rsid w:val="00963062"/>
    <w:rsid w:val="009735FA"/>
    <w:rsid w:val="00977ECA"/>
    <w:rsid w:val="00982180"/>
    <w:rsid w:val="00983688"/>
    <w:rsid w:val="009928B2"/>
    <w:rsid w:val="009C61B2"/>
    <w:rsid w:val="009D5928"/>
    <w:rsid w:val="009E6F29"/>
    <w:rsid w:val="00A05F43"/>
    <w:rsid w:val="00A20F73"/>
    <w:rsid w:val="00A3260A"/>
    <w:rsid w:val="00A41969"/>
    <w:rsid w:val="00A60413"/>
    <w:rsid w:val="00A70E13"/>
    <w:rsid w:val="00A83658"/>
    <w:rsid w:val="00A85489"/>
    <w:rsid w:val="00A857DC"/>
    <w:rsid w:val="00A87B1F"/>
    <w:rsid w:val="00AA336E"/>
    <w:rsid w:val="00AA428E"/>
    <w:rsid w:val="00AD1AA6"/>
    <w:rsid w:val="00AF1F2A"/>
    <w:rsid w:val="00AF30EF"/>
    <w:rsid w:val="00AF5490"/>
    <w:rsid w:val="00B00F3F"/>
    <w:rsid w:val="00B05E1C"/>
    <w:rsid w:val="00B114A7"/>
    <w:rsid w:val="00B4633B"/>
    <w:rsid w:val="00B777AF"/>
    <w:rsid w:val="00B81789"/>
    <w:rsid w:val="00B92DF1"/>
    <w:rsid w:val="00BF4150"/>
    <w:rsid w:val="00C01AA6"/>
    <w:rsid w:val="00C06257"/>
    <w:rsid w:val="00C079B0"/>
    <w:rsid w:val="00C119A9"/>
    <w:rsid w:val="00C14250"/>
    <w:rsid w:val="00C2297C"/>
    <w:rsid w:val="00C64BB4"/>
    <w:rsid w:val="00C73CF5"/>
    <w:rsid w:val="00C75BD4"/>
    <w:rsid w:val="00C96847"/>
    <w:rsid w:val="00C977DC"/>
    <w:rsid w:val="00CA4927"/>
    <w:rsid w:val="00CA53B9"/>
    <w:rsid w:val="00CA5C08"/>
    <w:rsid w:val="00CB21B0"/>
    <w:rsid w:val="00CF2624"/>
    <w:rsid w:val="00D36448"/>
    <w:rsid w:val="00D574CA"/>
    <w:rsid w:val="00D71BC4"/>
    <w:rsid w:val="00DB1DE9"/>
    <w:rsid w:val="00DB7073"/>
    <w:rsid w:val="00DD025A"/>
    <w:rsid w:val="00DD6ADB"/>
    <w:rsid w:val="00DD7D7A"/>
    <w:rsid w:val="00DE18E2"/>
    <w:rsid w:val="00E97C17"/>
    <w:rsid w:val="00EA3809"/>
    <w:rsid w:val="00EB0165"/>
    <w:rsid w:val="00ED0A0D"/>
    <w:rsid w:val="00F03DC0"/>
    <w:rsid w:val="00F2705D"/>
    <w:rsid w:val="00F30E8E"/>
    <w:rsid w:val="00F422E1"/>
    <w:rsid w:val="00F67BBD"/>
    <w:rsid w:val="00F71F8E"/>
    <w:rsid w:val="00F74762"/>
    <w:rsid w:val="00F820A7"/>
    <w:rsid w:val="00F83E80"/>
    <w:rsid w:val="00F95133"/>
    <w:rsid w:val="00FA6206"/>
    <w:rsid w:val="00FB0592"/>
    <w:rsid w:val="00FB139B"/>
    <w:rsid w:val="00FE290A"/>
    <w:rsid w:val="00FF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F6FF99"/>
  <w15:docId w15:val="{5BC2FC9E-B5D5-457D-9125-128610BF1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eastAsia="Arial Unicode MS"/>
      <w:b/>
      <w:bCs/>
      <w:sz w:val="20"/>
      <w:szCs w:val="1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szCs w:val="20"/>
    </w:rPr>
  </w:style>
  <w:style w:type="paragraph" w:styleId="Heading6">
    <w:name w:val="heading 6"/>
    <w:basedOn w:val="Normal"/>
    <w:next w:val="Normal"/>
    <w:qFormat/>
    <w:pPr>
      <w:keepNext/>
      <w:tabs>
        <w:tab w:val="num" w:pos="0"/>
      </w:tabs>
      <w:jc w:val="center"/>
      <w:outlineLvl w:val="5"/>
    </w:pPr>
    <w:rPr>
      <w:b/>
      <w:szCs w:val="20"/>
    </w:rPr>
  </w:style>
  <w:style w:type="paragraph" w:styleId="Heading7">
    <w:name w:val="heading 7"/>
    <w:basedOn w:val="Normal"/>
    <w:next w:val="Normal"/>
    <w:qFormat/>
    <w:pPr>
      <w:keepNext/>
      <w:outlineLvl w:val="6"/>
    </w:pPr>
    <w:rPr>
      <w:rFonts w:ascii="Bookman Old Style" w:hAnsi="Bookman Old Style"/>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bCs/>
      <w:szCs w:val="20"/>
    </w:rPr>
  </w:style>
  <w:style w:type="character" w:customStyle="1" w:styleId="EmailStyle20">
    <w:name w:val="EmailStyle20"/>
    <w:rPr>
      <w:rFonts w:ascii="Arial" w:hAnsi="Arial" w:cs="Arial"/>
      <w:color w:val="000000"/>
      <w:sz w:val="20"/>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Strong">
    <w:name w:val="Strong"/>
    <w:qFormat/>
    <w:rPr>
      <w:b/>
      <w:bCs/>
    </w:rPr>
  </w:style>
  <w:style w:type="character" w:styleId="Hyperlink">
    <w:name w:val="Hyperlink"/>
    <w:rsid w:val="004E0B99"/>
    <w:rPr>
      <w:color w:val="0000FF"/>
      <w:u w:val="single"/>
    </w:rPr>
  </w:style>
  <w:style w:type="character" w:styleId="FollowedHyperlink">
    <w:name w:val="FollowedHyperlink"/>
    <w:rsid w:val="00AF1F2A"/>
    <w:rPr>
      <w:color w:val="800080"/>
      <w:u w:val="single"/>
    </w:rPr>
  </w:style>
  <w:style w:type="paragraph" w:styleId="BalloonText">
    <w:name w:val="Balloon Text"/>
    <w:basedOn w:val="Normal"/>
    <w:semiHidden/>
    <w:rsid w:val="00A87B1F"/>
    <w:rPr>
      <w:rFonts w:ascii="Tahoma" w:hAnsi="Tahoma" w:cs="Tahoma"/>
      <w:sz w:val="16"/>
      <w:szCs w:val="16"/>
    </w:rPr>
  </w:style>
  <w:style w:type="table" w:styleId="TableTheme">
    <w:name w:val="Table Theme"/>
    <w:basedOn w:val="TableNormal"/>
    <w:rsid w:val="00D36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MainHead">
    <w:name w:val="Policy Main Head"/>
    <w:basedOn w:val="Normal"/>
    <w:rsid w:val="00D574CA"/>
    <w:pPr>
      <w:widowControl w:val="0"/>
      <w:spacing w:after="200" w:line="276" w:lineRule="auto"/>
    </w:pPr>
    <w:rPr>
      <w:rFonts w:ascii="Arial Narrow" w:hAnsi="Arial Narrow"/>
      <w:noProof/>
      <w:color w:val="11406B"/>
      <w:sz w:val="48"/>
      <w:szCs w:val="48"/>
    </w:rPr>
  </w:style>
  <w:style w:type="character" w:customStyle="1" w:styleId="FooterChar">
    <w:name w:val="Footer Char"/>
    <w:link w:val="Footer"/>
    <w:uiPriority w:val="99"/>
    <w:rsid w:val="00D574CA"/>
    <w:rPr>
      <w:sz w:val="24"/>
      <w:szCs w:val="24"/>
    </w:rPr>
  </w:style>
  <w:style w:type="table" w:styleId="LightList-Accent1">
    <w:name w:val="Light List Accent 1"/>
    <w:basedOn w:val="TableNormal"/>
    <w:uiPriority w:val="61"/>
    <w:rsid w:val="005423D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rsid w:val="00B77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F3D44"/>
    <w:rPr>
      <w:sz w:val="16"/>
      <w:szCs w:val="16"/>
    </w:rPr>
  </w:style>
  <w:style w:type="paragraph" w:styleId="CommentText">
    <w:name w:val="annotation text"/>
    <w:basedOn w:val="Normal"/>
    <w:link w:val="CommentTextChar"/>
    <w:rsid w:val="003F3D44"/>
    <w:rPr>
      <w:sz w:val="20"/>
      <w:szCs w:val="20"/>
    </w:rPr>
  </w:style>
  <w:style w:type="character" w:customStyle="1" w:styleId="CommentTextChar">
    <w:name w:val="Comment Text Char"/>
    <w:basedOn w:val="DefaultParagraphFont"/>
    <w:link w:val="CommentText"/>
    <w:rsid w:val="003F3D44"/>
  </w:style>
  <w:style w:type="paragraph" w:styleId="CommentSubject">
    <w:name w:val="annotation subject"/>
    <w:basedOn w:val="CommentText"/>
    <w:next w:val="CommentText"/>
    <w:link w:val="CommentSubjectChar"/>
    <w:rsid w:val="003F3D44"/>
    <w:rPr>
      <w:b/>
      <w:bCs/>
    </w:rPr>
  </w:style>
  <w:style w:type="character" w:customStyle="1" w:styleId="CommentSubjectChar">
    <w:name w:val="Comment Subject Char"/>
    <w:basedOn w:val="CommentTextChar"/>
    <w:link w:val="CommentSubject"/>
    <w:rsid w:val="003F3D44"/>
    <w:rPr>
      <w:b/>
      <w:bCs/>
    </w:rPr>
  </w:style>
  <w:style w:type="paragraph" w:styleId="ListParagraph">
    <w:name w:val="List Paragraph"/>
    <w:basedOn w:val="Normal"/>
    <w:uiPriority w:val="34"/>
    <w:qFormat/>
    <w:rsid w:val="007163E2"/>
    <w:pPr>
      <w:ind w:left="720"/>
      <w:contextualSpacing/>
    </w:pPr>
  </w:style>
  <w:style w:type="table" w:customStyle="1" w:styleId="TableGrid1">
    <w:name w:val="Table Grid1"/>
    <w:basedOn w:val="TableNormal"/>
    <w:next w:val="TableGrid"/>
    <w:rsid w:val="00A70E1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348475">
      <w:bodyDiv w:val="1"/>
      <w:marLeft w:val="0"/>
      <w:marRight w:val="0"/>
      <w:marTop w:val="0"/>
      <w:marBottom w:val="0"/>
      <w:divBdr>
        <w:top w:val="none" w:sz="0" w:space="0" w:color="auto"/>
        <w:left w:val="none" w:sz="0" w:space="0" w:color="auto"/>
        <w:bottom w:val="none" w:sz="0" w:space="0" w:color="auto"/>
        <w:right w:val="none" w:sz="0" w:space="0" w:color="auto"/>
      </w:divBdr>
    </w:div>
    <w:div w:id="1124691593">
      <w:bodyDiv w:val="1"/>
      <w:marLeft w:val="0"/>
      <w:marRight w:val="0"/>
      <w:marTop w:val="0"/>
      <w:marBottom w:val="0"/>
      <w:divBdr>
        <w:top w:val="none" w:sz="0" w:space="0" w:color="auto"/>
        <w:left w:val="none" w:sz="0" w:space="0" w:color="auto"/>
        <w:bottom w:val="none" w:sz="0" w:space="0" w:color="auto"/>
        <w:right w:val="none" w:sz="0" w:space="0" w:color="auto"/>
      </w:divBdr>
      <w:divsChild>
        <w:div w:id="421417658">
          <w:marLeft w:val="0"/>
          <w:marRight w:val="0"/>
          <w:marTop w:val="0"/>
          <w:marBottom w:val="0"/>
          <w:divBdr>
            <w:top w:val="none" w:sz="0" w:space="0" w:color="auto"/>
            <w:left w:val="none" w:sz="0" w:space="0" w:color="auto"/>
            <w:bottom w:val="none" w:sz="0" w:space="0" w:color="auto"/>
            <w:right w:val="none" w:sz="0" w:space="0" w:color="auto"/>
          </w:divBdr>
        </w:div>
        <w:div w:id="1452554935">
          <w:marLeft w:val="0"/>
          <w:marRight w:val="0"/>
          <w:marTop w:val="0"/>
          <w:marBottom w:val="0"/>
          <w:divBdr>
            <w:top w:val="none" w:sz="0" w:space="0" w:color="auto"/>
            <w:left w:val="none" w:sz="0" w:space="0" w:color="auto"/>
            <w:bottom w:val="none" w:sz="0" w:space="0" w:color="auto"/>
            <w:right w:val="none" w:sz="0" w:space="0" w:color="auto"/>
          </w:divBdr>
        </w:div>
      </w:divsChild>
    </w:div>
    <w:div w:id="113753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ms.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cms.gov/Medicare/Medicare-Fee-for-Service-Payment/HospitalOutpatientPPS/index.html"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ms.gov/Medicare/Medicare-Fee-for-Service-Payment/HospitalOutpatientPPS/Addendum-A-and-Addendum-B-Updates.html?DLSort=2&amp;DLEntries=10&amp;DLPage=1&amp;DLSortDir=descend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369E0C0870044997409F395C612264" ma:contentTypeVersion="45" ma:contentTypeDescription="Create a new document." ma:contentTypeScope="" ma:versionID="6a9835a1cc1bc75cb181fc67c4fdfc05">
  <xsd:schema xmlns:xsd="http://www.w3.org/2001/XMLSchema" xmlns:xs="http://www.w3.org/2001/XMLSchema" xmlns:p="http://schemas.microsoft.com/office/2006/metadata/properties" xmlns:ns2="bb3feb3e-8685-4a23-b97a-ee6db2bb05f1" targetNamespace="http://schemas.microsoft.com/office/2006/metadata/properties" ma:root="true" ma:fieldsID="4bf8220d7815bdf2dec3549ca4bfea90" ns2:_="">
    <xsd:import namespace="bb3feb3e-8685-4a23-b97a-ee6db2bb05f1"/>
    <xsd:element name="properties">
      <xsd:complexType>
        <xsd:sequence>
          <xsd:element name="documentManagement">
            <xsd:complexType>
              <xsd:all>
                <xsd:element ref="ns2:Category"/>
                <xsd:element ref="ns2:Category0" minOccurs="0"/>
                <xsd:element ref="ns2:Policy_x0020_Name"/>
                <xsd:element ref="ns2:Policy_x0020_Name_x003a_Policy_x0020_Type_x0020_Text" minOccurs="0"/>
                <xsd:element ref="ns2:Policy_x0020_Name_x003a_Batc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feb3e-8685-4a23-b97a-ee6db2bb05f1" elementFormDefault="qualified">
    <xsd:import namespace="http://schemas.microsoft.com/office/2006/documentManagement/types"/>
    <xsd:import namespace="http://schemas.microsoft.com/office/infopath/2007/PartnerControls"/>
    <xsd:element name="Category" ma:index="8" ma:displayName="Line of Business" ma:default="Centene Corporate" ma:description="Identifies line of business document is for" ma:format="Dropdown" ma:internalName="Category">
      <xsd:simpleType>
        <xsd:restriction base="dms:Choice">
          <xsd:enumeration value="Centene Corporate"/>
          <xsd:enumeration value="Ambetter"/>
          <xsd:enumeration value="Medicare"/>
          <xsd:enumeration value="Arkansas"/>
          <xsd:enumeration value="Arizona"/>
          <xsd:enumeration value="California"/>
          <xsd:enumeration value="Delaware"/>
          <xsd:enumeration value="Florida"/>
          <xsd:enumeration value="Georgia"/>
          <xsd:enumeration value="Illinois"/>
          <xsd:enumeration value="Indiana"/>
          <xsd:enumeration value="Kansas"/>
          <xsd:enumeration value="Louisiana"/>
          <xsd:enumeration value="Maryland"/>
          <xsd:enumeration value="Massachusetts"/>
          <xsd:enumeration value="Missouri"/>
          <xsd:enumeration value="Mississippi"/>
          <xsd:enumeration value="Nebraska"/>
          <xsd:enumeration value="Nevada"/>
          <xsd:enumeration value="New Hampshire"/>
          <xsd:enumeration value="Ohio"/>
          <xsd:enumeration value="Oregon"/>
          <xsd:enumeration value="Pennsylvania"/>
          <xsd:enumeration value="South Carolina"/>
          <xsd:enumeration value="Texas"/>
          <xsd:enumeration value="Washington"/>
          <xsd:enumeration value="Wisconsin"/>
        </xsd:restriction>
      </xsd:simpleType>
    </xsd:element>
    <xsd:element name="Category0" ma:index="9" nillable="true" ma:displayName="Category" ma:default="Policy" ma:description="Category of Document" ma:format="Dropdown" ma:internalName="Category0">
      <xsd:simpleType>
        <xsd:restriction base="dms:Choice">
          <xsd:enumeration value="Business Case"/>
          <xsd:enumeration value="Edit Requests"/>
          <xsd:enumeration value="Policy"/>
          <xsd:enumeration value="State Specific Policy"/>
          <xsd:enumeration value="Supporting Materials"/>
        </xsd:restriction>
      </xsd:simpleType>
    </xsd:element>
    <xsd:element name="Policy_x0020_Name" ma:index="10" ma:displayName="Policy Name" ma:description="Policy Name" ma:list="{524776e8-94eb-4b6e-bb33-34d98d724617}" ma:internalName="Policy_x0020_Name" ma:readOnly="false" ma:showField="Title">
      <xsd:simpleType>
        <xsd:restriction base="dms:Lookup"/>
      </xsd:simpleType>
    </xsd:element>
    <xsd:element name="Policy_x0020_Name_x003a_Policy_x0020_Type_x0020_Text" ma:index="11" nillable="true" ma:displayName="Policy Type" ma:list="{524776e8-94eb-4b6e-bb33-34d98d724617}" ma:internalName="Policy_x0020_Name_x003a_Policy_x0020_Type_x0020_Text" ma:readOnly="true" ma:showField="Policy_x0020_Type_x0020_Text" ma:web="895e6fbf-28fb-45fa-b828-9f5479baa641">
      <xsd:simpleType>
        <xsd:restriction base="dms:Lookup"/>
      </xsd:simpleType>
    </xsd:element>
    <xsd:element name="Policy_x0020_Name_x003a_Batch" ma:index="12" nillable="true" ma:displayName="Batch" ma:list="{524776e8-94eb-4b6e-bb33-34d98d724617}" ma:internalName="Policy_x0020_Name_x003a_Batch" ma:readOnly="true" ma:showField="Batch0" ma:web="895e6fbf-28fb-45fa-b828-9f5479baa641">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olicy_x0020_Name xmlns="bb3feb3e-8685-4a23-b97a-ee6db2bb05f1">28</Policy_x0020_Name>
    <Category0 xmlns="bb3feb3e-8685-4a23-b97a-ee6db2bb05f1">Policy</Category0>
    <Category xmlns="bb3feb3e-8685-4a23-b97a-ee6db2bb05f1">Centene Corporate</Category>
  </documentManagement>
</p:properties>
</file>

<file path=customXml/itemProps1.xml><?xml version="1.0" encoding="utf-8"?>
<ds:datastoreItem xmlns:ds="http://schemas.openxmlformats.org/officeDocument/2006/customXml" ds:itemID="{C12E8581-25F2-4C29-85B5-2F0532780EE4}">
  <ds:schemaRefs>
    <ds:schemaRef ds:uri="http://schemas.microsoft.com/sharepoint/v3/contenttype/forms"/>
  </ds:schemaRefs>
</ds:datastoreItem>
</file>

<file path=customXml/itemProps2.xml><?xml version="1.0" encoding="utf-8"?>
<ds:datastoreItem xmlns:ds="http://schemas.openxmlformats.org/officeDocument/2006/customXml" ds:itemID="{89261355-7BEE-48DF-B6CF-8B6FF99E6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feb3e-8685-4a23-b97a-ee6db2bb0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F4B23D-9E60-403D-B8FE-0A7E8024FCA2}">
  <ds:schemaRefs>
    <ds:schemaRef ds:uri="http://schemas.microsoft.com/office/2006/metadata/properties"/>
    <ds:schemaRef ds:uri="http://schemas.microsoft.com/office/infopath/2007/PartnerControls"/>
    <ds:schemaRef ds:uri="bb3feb3e-8685-4a23-b97a-ee6db2bb05f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1083</Words>
  <Characters>6178</Characters>
  <Application>Microsoft Office Word</Application>
  <DocSecurity>2</DocSecurity>
  <Lines>51</Lines>
  <Paragraphs>14</Paragraphs>
  <ScaleCrop>false</ScaleCrop>
  <HeadingPairs>
    <vt:vector size="2" baseType="variant">
      <vt:variant>
        <vt:lpstr>Title</vt:lpstr>
      </vt:variant>
      <vt:variant>
        <vt:i4>1</vt:i4>
      </vt:variant>
    </vt:vector>
  </HeadingPairs>
  <TitlesOfParts>
    <vt:vector size="1" baseType="lpstr">
      <vt:lpstr>Last Reviewed: 03/2018</vt:lpstr>
    </vt:vector>
  </TitlesOfParts>
  <Company>CENTENE CORPORATION</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 Reviewed: 03/2018</dc:title>
  <dc:creator>Centene User</dc:creator>
  <cp:lastModifiedBy>Allison M. Johnson</cp:lastModifiedBy>
  <cp:revision>2</cp:revision>
  <cp:lastPrinted>2015-06-25T20:16:00Z</cp:lastPrinted>
  <dcterms:created xsi:type="dcterms:W3CDTF">2019-07-30T20:54:00Z</dcterms:created>
  <dcterms:modified xsi:type="dcterms:W3CDTF">2019-07-30T20:54:00Z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0x010100D8369E0C0870044997409F395C612264</vt:lpwstr>
  </property>
</Properties>
</file>