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A365" w14:textId="77777777"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 xml:space="preserve">Clinical Policy: </w:t>
      </w:r>
      <w:r w:rsidR="00683874">
        <w:rPr>
          <w:rFonts w:ascii="Times New Roman" w:hAnsi="Times New Roman"/>
          <w:color w:val="00548C"/>
          <w:sz w:val="36"/>
        </w:rPr>
        <w:t>Medical Necessity Criteria</w:t>
      </w:r>
    </w:p>
    <w:p w14:paraId="1CED28D1" w14:textId="77777777" w:rsidR="00B777AF" w:rsidRDefault="00B777AF" w:rsidP="00D574CA">
      <w:pPr>
        <w:pStyle w:val="PolicyMainHead"/>
        <w:tabs>
          <w:tab w:val="left" w:pos="360"/>
        </w:tabs>
        <w:spacing w:after="0" w:line="240" w:lineRule="auto"/>
        <w:rPr>
          <w:color w:val="00548C"/>
          <w:sz w:val="24"/>
        </w:rPr>
        <w:sectPr w:rsidR="00B777AF" w:rsidSect="00AE4A55">
          <w:headerReference w:type="default" r:id="rId10"/>
          <w:footerReference w:type="default" r:id="rId11"/>
          <w:headerReference w:type="first" r:id="rId12"/>
          <w:footerReference w:type="first" r:id="rId13"/>
          <w:pgSz w:w="12240" w:h="15840" w:code="1"/>
          <w:pgMar w:top="1260" w:right="907" w:bottom="1152" w:left="1440" w:header="576" w:footer="288" w:gutter="0"/>
          <w:cols w:space="720"/>
          <w:titlePg/>
          <w:docGrid w:linePitch="360"/>
        </w:sectPr>
      </w:pPr>
    </w:p>
    <w:p w14:paraId="5143AC92" w14:textId="77777777" w:rsidR="00480C09" w:rsidRPr="003D7BE7" w:rsidRDefault="00D574CA" w:rsidP="00A50846">
      <w:pPr>
        <w:pStyle w:val="PolicyMainHead"/>
        <w:spacing w:after="0" w:line="240" w:lineRule="auto"/>
        <w:rPr>
          <w:rFonts w:ascii="Times New Roman" w:hAnsi="Times New Roman"/>
          <w:color w:val="00548C"/>
          <w:sz w:val="24"/>
          <w:szCs w:val="24"/>
        </w:rPr>
        <w:sectPr w:rsidR="00480C09"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8F53A7">
        <w:rPr>
          <w:rFonts w:ascii="Times New Roman" w:hAnsi="Times New Roman"/>
          <w:color w:val="00548C"/>
          <w:sz w:val="24"/>
          <w:szCs w:val="24"/>
        </w:rPr>
        <w:t>CPC.05</w:t>
      </w:r>
      <w:r w:rsidR="00A50846">
        <w:rPr>
          <w:rFonts w:ascii="Times New Roman" w:hAnsi="Times New Roman"/>
          <w:color w:val="00548C"/>
          <w:sz w:val="24"/>
          <w:szCs w:val="24"/>
        </w:rPr>
        <w:tab/>
      </w:r>
      <w:r w:rsidR="00A50846">
        <w:rPr>
          <w:rFonts w:ascii="Times New Roman" w:hAnsi="Times New Roman"/>
          <w:color w:val="00548C"/>
          <w:sz w:val="24"/>
          <w:szCs w:val="24"/>
        </w:rPr>
        <w:tab/>
      </w:r>
      <w:r w:rsidR="00A50846">
        <w:rPr>
          <w:rFonts w:ascii="Times New Roman" w:hAnsi="Times New Roman"/>
          <w:color w:val="00548C"/>
          <w:sz w:val="24"/>
          <w:szCs w:val="24"/>
        </w:rPr>
        <w:tab/>
      </w:r>
      <w:r w:rsidR="00A50846">
        <w:rPr>
          <w:rFonts w:ascii="Times New Roman" w:hAnsi="Times New Roman"/>
          <w:color w:val="00548C"/>
          <w:sz w:val="24"/>
          <w:szCs w:val="24"/>
        </w:rPr>
        <w:tab/>
      </w:r>
      <w:r w:rsidR="00A50846">
        <w:rPr>
          <w:rFonts w:ascii="Times New Roman" w:hAnsi="Times New Roman"/>
          <w:color w:val="00548C"/>
          <w:sz w:val="24"/>
          <w:szCs w:val="24"/>
        </w:rPr>
        <w:tab/>
      </w:r>
    </w:p>
    <w:p w14:paraId="2C40444B" w14:textId="726C9CA7" w:rsidR="00875924" w:rsidRDefault="00D574CA" w:rsidP="00D574CA">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1D2358">
        <w:rPr>
          <w:rFonts w:ascii="Times New Roman" w:hAnsi="Times New Roman"/>
          <w:color w:val="00548C"/>
          <w:sz w:val="24"/>
          <w:szCs w:val="24"/>
        </w:rPr>
        <w:t>0</w:t>
      </w:r>
      <w:r w:rsidR="00A50846">
        <w:rPr>
          <w:rFonts w:ascii="Times New Roman" w:hAnsi="Times New Roman"/>
          <w:color w:val="00548C"/>
          <w:sz w:val="24"/>
          <w:szCs w:val="24"/>
        </w:rPr>
        <w:t>6</w:t>
      </w:r>
      <w:r w:rsidR="001D2358">
        <w:rPr>
          <w:rFonts w:ascii="Times New Roman" w:hAnsi="Times New Roman"/>
          <w:color w:val="00548C"/>
          <w:sz w:val="24"/>
          <w:szCs w:val="24"/>
        </w:rPr>
        <w:t>/1</w:t>
      </w:r>
      <w:r w:rsidR="008D79A4">
        <w:rPr>
          <w:rFonts w:ascii="Times New Roman" w:hAnsi="Times New Roman"/>
          <w:color w:val="00548C"/>
          <w:sz w:val="24"/>
          <w:szCs w:val="24"/>
        </w:rPr>
        <w:t>9</w:t>
      </w:r>
    </w:p>
    <w:p w14:paraId="3888B043" w14:textId="77777777" w:rsidR="00875924" w:rsidRDefault="00824B2C"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875924">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6EDECAF6" w14:textId="77777777" w:rsidR="00C73CF5" w:rsidRDefault="00C73CF5" w:rsidP="00400300">
      <w:pPr>
        <w:pStyle w:val="NormalWeb"/>
        <w:spacing w:before="0" w:beforeAutospacing="0" w:after="0" w:afterAutospacing="0"/>
        <w:rPr>
          <w:rStyle w:val="Strong"/>
          <w:rFonts w:ascii="Times New Roman" w:hAnsi="Times New Roman" w:cs="Times New Roman"/>
          <w:b w:val="0"/>
          <w:bCs w:val="0"/>
          <w:u w:val="single"/>
        </w:rPr>
      </w:pPr>
    </w:p>
    <w:p w14:paraId="741D2A49" w14:textId="77777777" w:rsidR="00715F4D" w:rsidRPr="005D7B81" w:rsidRDefault="00715F4D" w:rsidP="00715F4D">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1DEC3A84" w14:textId="77777777" w:rsidR="00715F4D" w:rsidRDefault="00715F4D" w:rsidP="00400300">
      <w:pPr>
        <w:pStyle w:val="NormalWeb"/>
        <w:spacing w:before="0" w:beforeAutospacing="0" w:after="0" w:afterAutospacing="0"/>
        <w:rPr>
          <w:rStyle w:val="Strong"/>
          <w:rFonts w:ascii="Times New Roman" w:hAnsi="Times New Roman" w:cs="Times New Roman"/>
          <w:b w:val="0"/>
          <w:bCs w:val="0"/>
          <w:u w:val="single"/>
        </w:rPr>
      </w:pPr>
    </w:p>
    <w:p w14:paraId="0A8DA782" w14:textId="77777777" w:rsidR="00583376" w:rsidRPr="00B777AF" w:rsidRDefault="00583376">
      <w:pPr>
        <w:pStyle w:val="Heading2"/>
        <w:rPr>
          <w:u w:val="none"/>
        </w:rPr>
      </w:pPr>
      <w:r w:rsidRPr="00B777AF">
        <w:rPr>
          <w:u w:val="none"/>
        </w:rPr>
        <w:t xml:space="preserve">Description </w:t>
      </w:r>
    </w:p>
    <w:p w14:paraId="775FD9A0" w14:textId="77777777" w:rsidR="00683874" w:rsidRDefault="00683874" w:rsidP="00683874">
      <w:pPr>
        <w:pStyle w:val="Heading2"/>
        <w:rPr>
          <w:b w:val="0"/>
          <w:u w:val="none"/>
        </w:rPr>
      </w:pPr>
      <w:r>
        <w:rPr>
          <w:b w:val="0"/>
          <w:u w:val="none"/>
        </w:rPr>
        <w:t>Medical necessity criteria and related definitions</w:t>
      </w:r>
      <w:r w:rsidR="00E120FB">
        <w:rPr>
          <w:b w:val="0"/>
          <w:u w:val="none"/>
        </w:rPr>
        <w:t>.</w:t>
      </w:r>
    </w:p>
    <w:p w14:paraId="1FF3303A" w14:textId="77777777" w:rsidR="003D28FE" w:rsidRDefault="003D28FE" w:rsidP="003D28FE"/>
    <w:p w14:paraId="4F8DE900" w14:textId="66E3D94A" w:rsidR="003D28FE" w:rsidRPr="003D28FE" w:rsidRDefault="003D28FE" w:rsidP="003D28FE">
      <w:r w:rsidRPr="003D28FE">
        <w:rPr>
          <w:i/>
        </w:rPr>
        <w:t>Note:</w:t>
      </w:r>
      <w:r w:rsidRPr="003D28FE">
        <w:t xml:space="preserve"> This policy may not be referenced in denial letters as the sole criteria for adverse determinations. The denial notification must reference the specific medical necessity criterion used to make the denial decision</w:t>
      </w:r>
      <w:r w:rsidR="0098238D">
        <w:t>.</w:t>
      </w:r>
    </w:p>
    <w:p w14:paraId="332CC031" w14:textId="77777777" w:rsidR="00ED0A0D" w:rsidRPr="00B777AF" w:rsidRDefault="00ED0A0D" w:rsidP="00196935"/>
    <w:p w14:paraId="56D5F563" w14:textId="77777777" w:rsidR="00583376" w:rsidRPr="00B777AF" w:rsidRDefault="00583376">
      <w:pPr>
        <w:pStyle w:val="Heading2"/>
        <w:rPr>
          <w:u w:val="none"/>
        </w:rPr>
      </w:pPr>
      <w:r w:rsidRPr="00B777AF">
        <w:rPr>
          <w:u w:val="none"/>
        </w:rPr>
        <w:t>Policy/Criteria</w:t>
      </w:r>
    </w:p>
    <w:p w14:paraId="6933ABC8" w14:textId="68BD3422" w:rsidR="00683874" w:rsidRDefault="00683874" w:rsidP="00683874">
      <w:pPr>
        <w:rPr>
          <w:bCs/>
          <w:color w:val="000000"/>
        </w:rPr>
      </w:pPr>
      <w:r>
        <w:rPr>
          <w:bCs/>
          <w:color w:val="000000"/>
        </w:rPr>
        <w:t xml:space="preserve">Health plans affiliated with </w:t>
      </w:r>
      <w:r w:rsidRPr="002C6ED5">
        <w:rPr>
          <w:bCs/>
          <w:color w:val="000000"/>
        </w:rPr>
        <w:t>Centene Corporation</w:t>
      </w:r>
      <w:r>
        <w:rPr>
          <w:bCs/>
          <w:color w:val="000000"/>
          <w:vertAlign w:val="superscript"/>
        </w:rPr>
        <w:t>®</w:t>
      </w:r>
      <w:r>
        <w:rPr>
          <w:bCs/>
          <w:color w:val="000000"/>
        </w:rPr>
        <w:t xml:space="preserve"> </w:t>
      </w:r>
      <w:r w:rsidRPr="002C6ED5">
        <w:rPr>
          <w:bCs/>
          <w:color w:val="000000"/>
        </w:rPr>
        <w:t>will use the following guidelines to make medical necessity decisions</w:t>
      </w:r>
      <w:r>
        <w:rPr>
          <w:bCs/>
          <w:color w:val="000000"/>
        </w:rPr>
        <w:t xml:space="preserve"> (</w:t>
      </w:r>
      <w:r w:rsidR="00A50846">
        <w:rPr>
          <w:bCs/>
          <w:color w:val="000000"/>
        </w:rPr>
        <w:t xml:space="preserve">listed </w:t>
      </w:r>
      <w:r>
        <w:rPr>
          <w:bCs/>
          <w:color w:val="000000"/>
        </w:rPr>
        <w:t>in order of significance)</w:t>
      </w:r>
      <w:r w:rsidRPr="002F66B1">
        <w:rPr>
          <w:bCs/>
          <w:color w:val="000000"/>
        </w:rPr>
        <w:t xml:space="preserve"> </w:t>
      </w:r>
      <w:r>
        <w:rPr>
          <w:bCs/>
          <w:color w:val="000000"/>
        </w:rPr>
        <w:t xml:space="preserve">on a </w:t>
      </w:r>
      <w:r w:rsidR="004178E0">
        <w:rPr>
          <w:bCs/>
          <w:color w:val="000000"/>
        </w:rPr>
        <w:t>case-by-</w:t>
      </w:r>
      <w:r>
        <w:rPr>
          <w:bCs/>
          <w:color w:val="000000"/>
        </w:rPr>
        <w:t xml:space="preserve">case basis, </w:t>
      </w:r>
      <w:r w:rsidRPr="002F66B1">
        <w:rPr>
          <w:bCs/>
          <w:color w:val="000000"/>
        </w:rPr>
        <w:t xml:space="preserve">based on the information provided on the member’s health status:  </w:t>
      </w:r>
    </w:p>
    <w:p w14:paraId="3D85E2EE" w14:textId="77777777" w:rsidR="00AE4A55" w:rsidRDefault="00AE4A55" w:rsidP="00683874">
      <w:pPr>
        <w:rPr>
          <w:bCs/>
          <w:color w:val="000000"/>
        </w:rPr>
      </w:pPr>
    </w:p>
    <w:p w14:paraId="2C36BDF1" w14:textId="0442899B" w:rsidR="00683874" w:rsidRPr="002F66B1" w:rsidRDefault="00683874" w:rsidP="008F53A7">
      <w:pPr>
        <w:numPr>
          <w:ilvl w:val="0"/>
          <w:numId w:val="9"/>
        </w:numPr>
        <w:ind w:left="360"/>
        <w:rPr>
          <w:color w:val="000000"/>
        </w:rPr>
      </w:pPr>
      <w:r>
        <w:rPr>
          <w:color w:val="000000"/>
        </w:rPr>
        <w:t>Federal law (e</w:t>
      </w:r>
      <w:r w:rsidR="004178E0">
        <w:rPr>
          <w:color w:val="000000"/>
        </w:rPr>
        <w:t>.</w:t>
      </w:r>
      <w:r>
        <w:rPr>
          <w:color w:val="000000"/>
        </w:rPr>
        <w:t>g</w:t>
      </w:r>
      <w:r w:rsidR="004178E0">
        <w:rPr>
          <w:color w:val="000000"/>
        </w:rPr>
        <w:t>.</w:t>
      </w:r>
      <w:r>
        <w:rPr>
          <w:color w:val="000000"/>
        </w:rPr>
        <w:t xml:space="preserve">, </w:t>
      </w:r>
      <w:r w:rsidR="00071BAF">
        <w:rPr>
          <w:color w:val="000000"/>
        </w:rPr>
        <w:t>National Coverage Determinations (</w:t>
      </w:r>
      <w:r>
        <w:rPr>
          <w:color w:val="000000"/>
        </w:rPr>
        <w:t>NCD</w:t>
      </w:r>
      <w:r w:rsidR="00071BAF">
        <w:rPr>
          <w:color w:val="000000"/>
        </w:rPr>
        <w:t>),</w:t>
      </w:r>
      <w:r>
        <w:rPr>
          <w:color w:val="000000"/>
        </w:rPr>
        <w:t xml:space="preserve"> </w:t>
      </w:r>
      <w:r w:rsidR="00071BAF">
        <w:rPr>
          <w:color w:val="000000"/>
        </w:rPr>
        <w:t>Local Coverage Determinations (</w:t>
      </w:r>
      <w:r>
        <w:rPr>
          <w:color w:val="000000"/>
        </w:rPr>
        <w:t>LCD</w:t>
      </w:r>
      <w:r w:rsidR="00071BAF">
        <w:rPr>
          <w:color w:val="000000"/>
        </w:rPr>
        <w:t>), and Medicare Coverage Articles</w:t>
      </w:r>
      <w:r>
        <w:rPr>
          <w:color w:val="000000"/>
        </w:rPr>
        <w:t xml:space="preserve"> for Federal</w:t>
      </w:r>
      <w:r w:rsidR="00AE4A55">
        <w:rPr>
          <w:color w:val="000000"/>
        </w:rPr>
        <w:t xml:space="preserve"> programs</w:t>
      </w:r>
      <w:r>
        <w:rPr>
          <w:color w:val="000000"/>
        </w:rPr>
        <w:t xml:space="preserve"> </w:t>
      </w:r>
      <w:r w:rsidR="00AE4A55">
        <w:rPr>
          <w:color w:val="000000"/>
        </w:rPr>
        <w:t>s</w:t>
      </w:r>
      <w:r>
        <w:rPr>
          <w:color w:val="000000"/>
        </w:rPr>
        <w:t>uch as Medicare)</w:t>
      </w:r>
      <w:r w:rsidR="00E120FB">
        <w:rPr>
          <w:color w:val="000000"/>
        </w:rPr>
        <w:t>;</w:t>
      </w:r>
    </w:p>
    <w:p w14:paraId="4B21A230" w14:textId="77777777" w:rsidR="00683874" w:rsidRDefault="00683874" w:rsidP="008F53A7">
      <w:pPr>
        <w:numPr>
          <w:ilvl w:val="0"/>
          <w:numId w:val="9"/>
        </w:numPr>
        <w:ind w:left="360"/>
        <w:rPr>
          <w:color w:val="000000"/>
        </w:rPr>
      </w:pPr>
      <w:r w:rsidRPr="002F66B1">
        <w:rPr>
          <w:color w:val="000000"/>
        </w:rPr>
        <w:t>State law/guideline</w:t>
      </w:r>
      <w:r>
        <w:rPr>
          <w:color w:val="000000"/>
        </w:rPr>
        <w:t>s (e</w:t>
      </w:r>
      <w:r w:rsidR="004178E0">
        <w:rPr>
          <w:color w:val="000000"/>
        </w:rPr>
        <w:t>.</w:t>
      </w:r>
      <w:r>
        <w:rPr>
          <w:color w:val="000000"/>
        </w:rPr>
        <w:t>g</w:t>
      </w:r>
      <w:r w:rsidR="004178E0">
        <w:rPr>
          <w:color w:val="000000"/>
        </w:rPr>
        <w:t>.</w:t>
      </w:r>
      <w:r>
        <w:rPr>
          <w:color w:val="000000"/>
        </w:rPr>
        <w:t>, when State requirements trump or exceed federal requirements)</w:t>
      </w:r>
      <w:r w:rsidR="00E120FB">
        <w:rPr>
          <w:color w:val="000000"/>
        </w:rPr>
        <w:t>;</w:t>
      </w:r>
    </w:p>
    <w:p w14:paraId="6457EAE5" w14:textId="77777777" w:rsidR="00683874" w:rsidRPr="002F66B1" w:rsidRDefault="004178E0" w:rsidP="008F53A7">
      <w:pPr>
        <w:numPr>
          <w:ilvl w:val="0"/>
          <w:numId w:val="9"/>
        </w:numPr>
        <w:ind w:left="360"/>
        <w:rPr>
          <w:color w:val="000000"/>
        </w:rPr>
      </w:pPr>
      <w:r>
        <w:rPr>
          <w:color w:val="000000"/>
        </w:rPr>
        <w:t>Plan-</w:t>
      </w:r>
      <w:r w:rsidR="00683874">
        <w:rPr>
          <w:color w:val="000000"/>
        </w:rPr>
        <w:t>specific clinical policy</w:t>
      </w:r>
      <w:r w:rsidR="00612614">
        <w:rPr>
          <w:color w:val="000000"/>
        </w:rPr>
        <w:t xml:space="preserve"> (including plan-specific clinical policies in </w:t>
      </w:r>
      <w:proofErr w:type="spellStart"/>
      <w:r w:rsidR="00612614">
        <w:rPr>
          <w:color w:val="000000"/>
        </w:rPr>
        <w:t>InterQual</w:t>
      </w:r>
      <w:proofErr w:type="spellEnd"/>
      <w:r w:rsidR="00612614" w:rsidRPr="009D2351">
        <w:rPr>
          <w:color w:val="000000"/>
          <w:vertAlign w:val="superscript"/>
        </w:rPr>
        <w:t>®</w:t>
      </w:r>
      <w:r w:rsidR="005647FD">
        <w:rPr>
          <w:color w:val="000000"/>
        </w:rPr>
        <w:t xml:space="preserve"> as custom c</w:t>
      </w:r>
      <w:r w:rsidR="00612614">
        <w:rPr>
          <w:color w:val="000000"/>
        </w:rPr>
        <w:t>ontent)</w:t>
      </w:r>
      <w:r w:rsidR="00E120FB">
        <w:rPr>
          <w:color w:val="000000"/>
        </w:rPr>
        <w:t>;</w:t>
      </w:r>
    </w:p>
    <w:p w14:paraId="1BDB3CC5" w14:textId="77777777" w:rsidR="00683874" w:rsidRPr="002F66B1" w:rsidRDefault="00683874" w:rsidP="008F53A7">
      <w:pPr>
        <w:numPr>
          <w:ilvl w:val="0"/>
          <w:numId w:val="9"/>
        </w:numPr>
        <w:ind w:left="360"/>
        <w:rPr>
          <w:color w:val="000000"/>
        </w:rPr>
      </w:pPr>
      <w:r w:rsidRPr="002F66B1">
        <w:rPr>
          <w:color w:val="000000"/>
        </w:rPr>
        <w:t xml:space="preserve">Centene </w:t>
      </w:r>
      <w:r>
        <w:rPr>
          <w:color w:val="000000"/>
        </w:rPr>
        <w:t xml:space="preserve">clinical </w:t>
      </w:r>
      <w:r w:rsidRPr="002F66B1">
        <w:rPr>
          <w:color w:val="000000"/>
        </w:rPr>
        <w:t>policy</w:t>
      </w:r>
      <w:r w:rsidR="009179E9">
        <w:rPr>
          <w:color w:val="000000"/>
        </w:rPr>
        <w:t xml:space="preserve"> (including </w:t>
      </w:r>
      <w:r w:rsidR="00A86555">
        <w:rPr>
          <w:color w:val="000000"/>
        </w:rPr>
        <w:t xml:space="preserve">Centene clinical </w:t>
      </w:r>
      <w:r w:rsidR="009179E9">
        <w:rPr>
          <w:color w:val="000000"/>
        </w:rPr>
        <w:t xml:space="preserve">policies in </w:t>
      </w:r>
      <w:proofErr w:type="spellStart"/>
      <w:r w:rsidR="009179E9">
        <w:rPr>
          <w:color w:val="000000"/>
        </w:rPr>
        <w:t>InterQual</w:t>
      </w:r>
      <w:proofErr w:type="spellEnd"/>
      <w:r w:rsidR="009179E9">
        <w:rPr>
          <w:color w:val="000000"/>
        </w:rPr>
        <w:t xml:space="preserve"> as </w:t>
      </w:r>
      <w:r w:rsidR="005647FD">
        <w:rPr>
          <w:color w:val="000000"/>
        </w:rPr>
        <w:t>c</w:t>
      </w:r>
      <w:r w:rsidR="009179E9">
        <w:rPr>
          <w:color w:val="000000"/>
        </w:rPr>
        <w:t xml:space="preserve">ustom </w:t>
      </w:r>
      <w:r w:rsidR="005647FD">
        <w:rPr>
          <w:color w:val="000000"/>
        </w:rPr>
        <w:t>c</w:t>
      </w:r>
      <w:r w:rsidR="009179E9">
        <w:rPr>
          <w:color w:val="000000"/>
        </w:rPr>
        <w:t>ontent)</w:t>
      </w:r>
      <w:r w:rsidR="00E120FB">
        <w:rPr>
          <w:color w:val="000000"/>
        </w:rPr>
        <w:t>;</w:t>
      </w:r>
    </w:p>
    <w:p w14:paraId="44B7026B" w14:textId="77777777" w:rsidR="00683874" w:rsidRDefault="00683874" w:rsidP="008F53A7">
      <w:pPr>
        <w:numPr>
          <w:ilvl w:val="0"/>
          <w:numId w:val="9"/>
        </w:numPr>
        <w:ind w:left="360"/>
        <w:rPr>
          <w:color w:val="000000"/>
        </w:rPr>
      </w:pPr>
      <w:r>
        <w:rPr>
          <w:color w:val="000000"/>
        </w:rPr>
        <w:t>If no Plan</w:t>
      </w:r>
      <w:r w:rsidR="004178E0">
        <w:rPr>
          <w:color w:val="000000"/>
        </w:rPr>
        <w:t>-</w:t>
      </w:r>
      <w:r>
        <w:rPr>
          <w:color w:val="000000"/>
        </w:rPr>
        <w:t xml:space="preserve"> or Centene-specific clinical policy exists, </w:t>
      </w:r>
      <w:r w:rsidR="004178E0">
        <w:rPr>
          <w:color w:val="000000"/>
        </w:rPr>
        <w:t xml:space="preserve">then </w:t>
      </w:r>
      <w:r>
        <w:rPr>
          <w:color w:val="000000"/>
        </w:rPr>
        <w:t xml:space="preserve">nationally recognized decision support tools such as </w:t>
      </w:r>
      <w:proofErr w:type="spellStart"/>
      <w:r w:rsidR="004178E0" w:rsidRPr="002F66B1">
        <w:rPr>
          <w:color w:val="000000"/>
        </w:rPr>
        <w:t>Inter</w:t>
      </w:r>
      <w:r w:rsidR="004178E0">
        <w:rPr>
          <w:color w:val="000000"/>
        </w:rPr>
        <w:t>Q</w:t>
      </w:r>
      <w:r w:rsidR="004178E0" w:rsidRPr="002F66B1">
        <w:rPr>
          <w:color w:val="000000"/>
        </w:rPr>
        <w:t>ual</w:t>
      </w:r>
      <w:proofErr w:type="spellEnd"/>
      <w:r>
        <w:rPr>
          <w:color w:val="000000"/>
        </w:rPr>
        <w:t xml:space="preserve"> </w:t>
      </w:r>
      <w:r w:rsidRPr="00D5107F">
        <w:rPr>
          <w:color w:val="000000"/>
        </w:rPr>
        <w:t>Clinical Decision Support C</w:t>
      </w:r>
      <w:r>
        <w:rPr>
          <w:color w:val="000000"/>
        </w:rPr>
        <w:t xml:space="preserve">riteria or MCG </w:t>
      </w:r>
      <w:r w:rsidRPr="00D5107F">
        <w:rPr>
          <w:color w:val="000000"/>
        </w:rPr>
        <w:t xml:space="preserve">(formerly </w:t>
      </w:r>
      <w:proofErr w:type="spellStart"/>
      <w:r w:rsidRPr="00D5107F">
        <w:rPr>
          <w:color w:val="000000"/>
        </w:rPr>
        <w:t>Milliman</w:t>
      </w:r>
      <w:proofErr w:type="spellEnd"/>
      <w:r w:rsidRPr="00D5107F">
        <w:rPr>
          <w:color w:val="000000"/>
        </w:rPr>
        <w:t xml:space="preserve"> Care Guidelines</w:t>
      </w:r>
      <w:r w:rsidRPr="009D2351">
        <w:rPr>
          <w:color w:val="000000"/>
          <w:vertAlign w:val="superscript"/>
        </w:rPr>
        <w:t>®</w:t>
      </w:r>
      <w:r w:rsidRPr="00D5107F">
        <w:rPr>
          <w:color w:val="000000"/>
        </w:rPr>
        <w:t>)</w:t>
      </w:r>
      <w:r>
        <w:rPr>
          <w:color w:val="000000"/>
        </w:rPr>
        <w:t xml:space="preserve"> criteria are used</w:t>
      </w:r>
      <w:r w:rsidR="00E120FB">
        <w:rPr>
          <w:color w:val="000000"/>
        </w:rPr>
        <w:t>;</w:t>
      </w:r>
    </w:p>
    <w:p w14:paraId="3BE4AD32" w14:textId="2773742D" w:rsidR="00683874" w:rsidRPr="002B3AB5" w:rsidRDefault="00683874" w:rsidP="008F53A7">
      <w:pPr>
        <w:numPr>
          <w:ilvl w:val="0"/>
          <w:numId w:val="9"/>
        </w:numPr>
        <w:ind w:left="360"/>
        <w:rPr>
          <w:color w:val="000000"/>
        </w:rPr>
      </w:pPr>
      <w:r>
        <w:rPr>
          <w:color w:val="000000"/>
        </w:rPr>
        <w:t>In the case of no guidance from A-</w:t>
      </w:r>
      <w:r w:rsidR="00840CB8">
        <w:rPr>
          <w:color w:val="000000"/>
        </w:rPr>
        <w:t>E</w:t>
      </w:r>
      <w:r>
        <w:rPr>
          <w:color w:val="000000"/>
        </w:rPr>
        <w:t xml:space="preserve">, additional information that the applicable </w:t>
      </w:r>
      <w:r w:rsidR="00AE4A55">
        <w:rPr>
          <w:color w:val="000000"/>
        </w:rPr>
        <w:t>health p</w:t>
      </w:r>
      <w:r>
        <w:rPr>
          <w:color w:val="000000"/>
        </w:rPr>
        <w:t>lan Medical Director will consider, when available, includes:</w:t>
      </w:r>
    </w:p>
    <w:p w14:paraId="4ED52756" w14:textId="77777777" w:rsidR="00683874" w:rsidRPr="005F4531" w:rsidRDefault="00683874" w:rsidP="008F53A7">
      <w:pPr>
        <w:numPr>
          <w:ilvl w:val="1"/>
          <w:numId w:val="9"/>
        </w:numPr>
        <w:ind w:left="720"/>
        <w:rPr>
          <w:color w:val="000000"/>
        </w:rPr>
      </w:pPr>
      <w:r>
        <w:rPr>
          <w:color w:val="000000"/>
        </w:rPr>
        <w:t xml:space="preserve">Reports from peer reviewed medical literature, </w:t>
      </w:r>
      <w:r w:rsidR="00A50846">
        <w:rPr>
          <w:color w:val="000000"/>
        </w:rPr>
        <w:t xml:space="preserve">from which </w:t>
      </w:r>
      <w:r>
        <w:rPr>
          <w:color w:val="000000"/>
        </w:rPr>
        <w:t xml:space="preserve">a higher level of evidence and study quality is more strongly considered in determinations; </w:t>
      </w:r>
    </w:p>
    <w:p w14:paraId="6252F5B7" w14:textId="77777777" w:rsidR="00683874" w:rsidRDefault="00683874" w:rsidP="008F53A7">
      <w:pPr>
        <w:numPr>
          <w:ilvl w:val="1"/>
          <w:numId w:val="9"/>
        </w:numPr>
        <w:ind w:left="720"/>
        <w:rPr>
          <w:color w:val="000000"/>
        </w:rPr>
      </w:pPr>
      <w:r>
        <w:rPr>
          <w:color w:val="000000"/>
        </w:rPr>
        <w:t>Professional standards of safety and effectiveness recognized in the US for diagnosis, care, or treatment;</w:t>
      </w:r>
    </w:p>
    <w:p w14:paraId="23A967C4" w14:textId="77777777" w:rsidR="00683874" w:rsidRPr="00683874" w:rsidRDefault="00683874" w:rsidP="008F53A7">
      <w:pPr>
        <w:numPr>
          <w:ilvl w:val="1"/>
          <w:numId w:val="9"/>
        </w:numPr>
        <w:ind w:left="720"/>
        <w:rPr>
          <w:bCs/>
          <w:color w:val="000000"/>
        </w:rPr>
      </w:pPr>
      <w:r w:rsidRPr="00683874">
        <w:rPr>
          <w:color w:val="000000"/>
        </w:rPr>
        <w:t>Nationally recognized drug compendia resources such as Facts &amp; Comparisons</w:t>
      </w:r>
      <w:r w:rsidRPr="00683874">
        <w:rPr>
          <w:color w:val="000000"/>
          <w:vertAlign w:val="superscript"/>
        </w:rPr>
        <w:t>®</w:t>
      </w:r>
      <w:r w:rsidRPr="00683874">
        <w:rPr>
          <w:color w:val="000000"/>
        </w:rPr>
        <w:t>, DRUGDEX</w:t>
      </w:r>
      <w:r w:rsidRPr="00683874">
        <w:rPr>
          <w:color w:val="000000"/>
          <w:vertAlign w:val="superscript"/>
        </w:rPr>
        <w:t>®</w:t>
      </w:r>
      <w:r w:rsidRPr="00683874">
        <w:rPr>
          <w:color w:val="000000"/>
        </w:rPr>
        <w:t>, and The National Comprehensive Cancer Network</w:t>
      </w:r>
      <w:r w:rsidRPr="00683874">
        <w:rPr>
          <w:color w:val="000000"/>
          <w:vertAlign w:val="superscript"/>
        </w:rPr>
        <w:t>®</w:t>
      </w:r>
      <w:r w:rsidRPr="00683874">
        <w:rPr>
          <w:color w:val="000000"/>
        </w:rPr>
        <w:t xml:space="preserve"> (NCCN</w:t>
      </w:r>
      <w:r w:rsidRPr="00683874">
        <w:rPr>
          <w:color w:val="000000"/>
          <w:vertAlign w:val="superscript"/>
        </w:rPr>
        <w:t>®</w:t>
      </w:r>
      <w:r w:rsidRPr="00683874">
        <w:rPr>
          <w:color w:val="000000"/>
        </w:rPr>
        <w:t>) Guidelines</w:t>
      </w:r>
    </w:p>
    <w:p w14:paraId="34FE8E77" w14:textId="77777777" w:rsidR="003840CC" w:rsidRPr="00683874" w:rsidRDefault="00683874" w:rsidP="008F53A7">
      <w:pPr>
        <w:numPr>
          <w:ilvl w:val="1"/>
          <w:numId w:val="9"/>
        </w:numPr>
        <w:ind w:left="720"/>
        <w:rPr>
          <w:bCs/>
          <w:color w:val="000000"/>
        </w:rPr>
      </w:pPr>
      <w:r w:rsidRPr="00683874">
        <w:rPr>
          <w:color w:val="000000"/>
        </w:rPr>
        <w:t>Medical association publications;</w:t>
      </w:r>
    </w:p>
    <w:p w14:paraId="24AC30EA" w14:textId="77777777" w:rsidR="00683874" w:rsidRDefault="00683874" w:rsidP="008F53A7">
      <w:pPr>
        <w:numPr>
          <w:ilvl w:val="1"/>
          <w:numId w:val="9"/>
        </w:numPr>
        <w:ind w:left="720"/>
        <w:rPr>
          <w:color w:val="000000"/>
        </w:rPr>
      </w:pPr>
      <w:r>
        <w:rPr>
          <w:color w:val="000000"/>
        </w:rPr>
        <w:t>Government-funded or independent entities that asses</w:t>
      </w:r>
      <w:r w:rsidR="004178E0">
        <w:rPr>
          <w:color w:val="000000"/>
        </w:rPr>
        <w:t>s</w:t>
      </w:r>
      <w:r>
        <w:rPr>
          <w:color w:val="000000"/>
        </w:rPr>
        <w:t xml:space="preserve"> and report on clinic</w:t>
      </w:r>
      <w:bookmarkStart w:id="0" w:name="_GoBack"/>
      <w:bookmarkEnd w:id="0"/>
      <w:r>
        <w:rPr>
          <w:color w:val="000000"/>
        </w:rPr>
        <w:t>al care decision</w:t>
      </w:r>
      <w:r w:rsidR="004178E0">
        <w:rPr>
          <w:color w:val="000000"/>
        </w:rPr>
        <w:t>s</w:t>
      </w:r>
      <w:r>
        <w:rPr>
          <w:color w:val="000000"/>
        </w:rPr>
        <w:t xml:space="preserve"> and technology such as </w:t>
      </w:r>
      <w:r w:rsidR="00B77444">
        <w:rPr>
          <w:color w:val="000000"/>
        </w:rPr>
        <w:t>Agency for Healthcare Research and Quality (</w:t>
      </w:r>
      <w:r>
        <w:rPr>
          <w:color w:val="000000"/>
        </w:rPr>
        <w:t>AHRQ</w:t>
      </w:r>
      <w:r w:rsidR="00B77444">
        <w:rPr>
          <w:color w:val="000000"/>
        </w:rPr>
        <w:t>)</w:t>
      </w:r>
      <w:r>
        <w:rPr>
          <w:color w:val="000000"/>
        </w:rPr>
        <w:t xml:space="preserve">, Hayes Technology Assessment, Up-To-Date, Cochrane Reviews, </w:t>
      </w:r>
      <w:r w:rsidR="00B77444">
        <w:rPr>
          <w:color w:val="000000"/>
        </w:rPr>
        <w:t>National Institute for Health and Care Excellence (</w:t>
      </w:r>
      <w:r>
        <w:rPr>
          <w:color w:val="000000"/>
        </w:rPr>
        <w:t>NICE</w:t>
      </w:r>
      <w:r w:rsidR="00B77444">
        <w:rPr>
          <w:color w:val="000000"/>
        </w:rPr>
        <w:t>)</w:t>
      </w:r>
      <w:r>
        <w:rPr>
          <w:color w:val="000000"/>
        </w:rPr>
        <w:t>, etc.</w:t>
      </w:r>
      <w:r w:rsidR="00840CB8">
        <w:rPr>
          <w:color w:val="000000"/>
        </w:rPr>
        <w:t>;</w:t>
      </w:r>
    </w:p>
    <w:p w14:paraId="7CDD57FF" w14:textId="77777777" w:rsidR="00683874" w:rsidRDefault="00683874" w:rsidP="008F53A7">
      <w:pPr>
        <w:numPr>
          <w:ilvl w:val="1"/>
          <w:numId w:val="9"/>
        </w:numPr>
        <w:ind w:left="720"/>
        <w:rPr>
          <w:color w:val="000000"/>
        </w:rPr>
      </w:pPr>
      <w:r>
        <w:rPr>
          <w:color w:val="000000"/>
        </w:rPr>
        <w:t>Published expert opinions</w:t>
      </w:r>
      <w:r w:rsidR="00840CB8">
        <w:rPr>
          <w:color w:val="000000"/>
        </w:rPr>
        <w:t>;</w:t>
      </w:r>
    </w:p>
    <w:p w14:paraId="5285CD6B" w14:textId="77777777" w:rsidR="00683874" w:rsidRDefault="00683874" w:rsidP="008F53A7">
      <w:pPr>
        <w:numPr>
          <w:ilvl w:val="1"/>
          <w:numId w:val="9"/>
        </w:numPr>
        <w:ind w:left="720"/>
        <w:rPr>
          <w:color w:val="000000"/>
        </w:rPr>
      </w:pPr>
      <w:r>
        <w:rPr>
          <w:color w:val="000000"/>
        </w:rPr>
        <w:t>Opinion of health professionals in the area of specialty involved</w:t>
      </w:r>
      <w:r w:rsidR="00840CB8">
        <w:rPr>
          <w:color w:val="000000"/>
        </w:rPr>
        <w:t>;</w:t>
      </w:r>
    </w:p>
    <w:p w14:paraId="72265E68" w14:textId="77777777" w:rsidR="00683874" w:rsidRPr="005F4531" w:rsidRDefault="00683874" w:rsidP="008F53A7">
      <w:pPr>
        <w:numPr>
          <w:ilvl w:val="1"/>
          <w:numId w:val="9"/>
        </w:numPr>
        <w:ind w:left="720"/>
        <w:rPr>
          <w:color w:val="000000"/>
        </w:rPr>
      </w:pPr>
      <w:r>
        <w:rPr>
          <w:color w:val="000000"/>
        </w:rPr>
        <w:t>Opinion of attending provider in case at hand</w:t>
      </w:r>
      <w:r w:rsidRPr="005F4531">
        <w:rPr>
          <w:color w:val="000000"/>
        </w:rPr>
        <w:t>.</w:t>
      </w:r>
    </w:p>
    <w:p w14:paraId="4500A222" w14:textId="77777777" w:rsidR="003D1668" w:rsidRDefault="003D1668" w:rsidP="00683874">
      <w:pPr>
        <w:rPr>
          <w:bCs/>
        </w:rPr>
      </w:pPr>
    </w:p>
    <w:p w14:paraId="4458D0FC" w14:textId="6123645C" w:rsidR="00683874" w:rsidRDefault="00683874" w:rsidP="00683874">
      <w:pPr>
        <w:rPr>
          <w:bCs/>
        </w:rPr>
      </w:pPr>
      <w:r>
        <w:rPr>
          <w:bCs/>
        </w:rPr>
        <w:t>Only appropriate practitioners can make the decision to deny coverage of a requested service based on medical necessity guidelines.  Practitioner types appropriate for making the following types of denial decisions include</w:t>
      </w:r>
      <w:r w:rsidR="00C859C3">
        <w:rPr>
          <w:bCs/>
        </w:rPr>
        <w:t>*</w:t>
      </w:r>
      <w:r>
        <w:rPr>
          <w:bCs/>
        </w:rPr>
        <w:t>:</w:t>
      </w:r>
    </w:p>
    <w:p w14:paraId="1E563D33" w14:textId="14657321" w:rsidR="003D1668" w:rsidRDefault="003D1668" w:rsidP="00683874">
      <w:pPr>
        <w:rPr>
          <w:bCs/>
        </w:rPr>
      </w:pPr>
    </w:p>
    <w:tbl>
      <w:tblPr>
        <w:tblStyle w:val="TableGrid"/>
        <w:tblW w:w="9625" w:type="dxa"/>
        <w:tblLook w:val="04A0" w:firstRow="1" w:lastRow="0" w:firstColumn="1" w:lastColumn="0" w:noHBand="0" w:noVBand="1"/>
      </w:tblPr>
      <w:tblGrid>
        <w:gridCol w:w="4045"/>
        <w:gridCol w:w="5580"/>
      </w:tblGrid>
      <w:tr w:rsidR="00683874" w:rsidRPr="00497769" w14:paraId="7FEDB164" w14:textId="77777777" w:rsidTr="003D2CCA">
        <w:trPr>
          <w:tblHeader/>
        </w:trPr>
        <w:tc>
          <w:tcPr>
            <w:tcW w:w="4045" w:type="dxa"/>
            <w:shd w:val="clear" w:color="auto" w:fill="00548C"/>
          </w:tcPr>
          <w:p w14:paraId="2D63B475" w14:textId="77777777" w:rsidR="00683874" w:rsidRPr="00400300" w:rsidRDefault="00683874" w:rsidP="00C63D52">
            <w:pPr>
              <w:jc w:val="center"/>
              <w:rPr>
                <w:b/>
                <w:bCs/>
                <w:color w:val="FFFFFF" w:themeColor="background1"/>
              </w:rPr>
            </w:pPr>
            <w:r w:rsidRPr="00400300">
              <w:rPr>
                <w:b/>
                <w:bCs/>
                <w:color w:val="FFFFFF" w:themeColor="background1"/>
              </w:rPr>
              <w:t>Provider Type</w:t>
            </w:r>
          </w:p>
        </w:tc>
        <w:tc>
          <w:tcPr>
            <w:tcW w:w="5580" w:type="dxa"/>
            <w:shd w:val="clear" w:color="auto" w:fill="00548C"/>
          </w:tcPr>
          <w:p w14:paraId="650EB2C9" w14:textId="77777777" w:rsidR="00683874" w:rsidRPr="00400300" w:rsidRDefault="00683874" w:rsidP="00C63D52">
            <w:pPr>
              <w:jc w:val="center"/>
              <w:rPr>
                <w:b/>
                <w:bCs/>
                <w:color w:val="FFFFFF" w:themeColor="background1"/>
              </w:rPr>
            </w:pPr>
            <w:r w:rsidRPr="00400300">
              <w:rPr>
                <w:b/>
                <w:bCs/>
                <w:color w:val="FFFFFF" w:themeColor="background1"/>
              </w:rPr>
              <w:t>Denial Decision</w:t>
            </w:r>
          </w:p>
        </w:tc>
      </w:tr>
      <w:tr w:rsidR="00683874" w14:paraId="0836113D" w14:textId="77777777" w:rsidTr="003D2CCA">
        <w:tc>
          <w:tcPr>
            <w:tcW w:w="4045" w:type="dxa"/>
          </w:tcPr>
          <w:p w14:paraId="5CBB4A81" w14:textId="77777777" w:rsidR="00683874" w:rsidRDefault="00683874" w:rsidP="004178E0">
            <w:pPr>
              <w:rPr>
                <w:bCs/>
              </w:rPr>
            </w:pPr>
            <w:r>
              <w:rPr>
                <w:bCs/>
              </w:rPr>
              <w:t>Physicians, all types</w:t>
            </w:r>
          </w:p>
        </w:tc>
        <w:tc>
          <w:tcPr>
            <w:tcW w:w="5580" w:type="dxa"/>
          </w:tcPr>
          <w:p w14:paraId="18261666" w14:textId="77777777" w:rsidR="00683874" w:rsidRDefault="00683874" w:rsidP="00592B66">
            <w:pPr>
              <w:rPr>
                <w:bCs/>
              </w:rPr>
            </w:pPr>
            <w:r>
              <w:rPr>
                <w:bCs/>
              </w:rPr>
              <w:t>Medical, behavioral healthcare, pharmaceutical, dental, chiropractic</w:t>
            </w:r>
            <w:r w:rsidR="00592B66">
              <w:rPr>
                <w:bCs/>
              </w:rPr>
              <w:t xml:space="preserve">, </w:t>
            </w:r>
            <w:r>
              <w:rPr>
                <w:bCs/>
              </w:rPr>
              <w:t>vision</w:t>
            </w:r>
            <w:r w:rsidR="00592B66">
              <w:rPr>
                <w:bCs/>
              </w:rPr>
              <w:t>, and physical therapy denials</w:t>
            </w:r>
          </w:p>
        </w:tc>
      </w:tr>
      <w:tr w:rsidR="00683874" w14:paraId="39917889" w14:textId="77777777" w:rsidTr="003D2CCA">
        <w:tc>
          <w:tcPr>
            <w:tcW w:w="4045" w:type="dxa"/>
          </w:tcPr>
          <w:p w14:paraId="1D3FFDE5" w14:textId="77777777" w:rsidR="00683874" w:rsidRDefault="00683874" w:rsidP="004178E0">
            <w:pPr>
              <w:rPr>
                <w:bCs/>
              </w:rPr>
            </w:pPr>
            <w:r>
              <w:rPr>
                <w:bCs/>
              </w:rPr>
              <w:t xml:space="preserve">Doctoral-level clinical psychologists or </w:t>
            </w:r>
          </w:p>
          <w:p w14:paraId="3AFBFE87" w14:textId="77777777" w:rsidR="00683874" w:rsidRDefault="00683874" w:rsidP="004178E0">
            <w:pPr>
              <w:rPr>
                <w:bCs/>
              </w:rPr>
            </w:pPr>
            <w:r>
              <w:rPr>
                <w:bCs/>
              </w:rPr>
              <w:t>certified addiction-medicine specialists</w:t>
            </w:r>
          </w:p>
        </w:tc>
        <w:tc>
          <w:tcPr>
            <w:tcW w:w="5580" w:type="dxa"/>
          </w:tcPr>
          <w:p w14:paraId="70604DB1" w14:textId="77777777" w:rsidR="00683874" w:rsidRDefault="00683874" w:rsidP="004178E0">
            <w:pPr>
              <w:rPr>
                <w:bCs/>
              </w:rPr>
            </w:pPr>
            <w:r>
              <w:rPr>
                <w:bCs/>
              </w:rPr>
              <w:t>Behavioral healthcare denials</w:t>
            </w:r>
          </w:p>
        </w:tc>
      </w:tr>
      <w:tr w:rsidR="00683874" w14:paraId="6EC8320B" w14:textId="77777777" w:rsidTr="003D2CCA">
        <w:tc>
          <w:tcPr>
            <w:tcW w:w="4045" w:type="dxa"/>
          </w:tcPr>
          <w:p w14:paraId="1CC9F5B7" w14:textId="77777777" w:rsidR="00683874" w:rsidRDefault="00683874" w:rsidP="004178E0">
            <w:pPr>
              <w:rPr>
                <w:bCs/>
              </w:rPr>
            </w:pPr>
            <w:r>
              <w:rPr>
                <w:bCs/>
              </w:rPr>
              <w:t>Pharmacists</w:t>
            </w:r>
          </w:p>
        </w:tc>
        <w:tc>
          <w:tcPr>
            <w:tcW w:w="5580" w:type="dxa"/>
          </w:tcPr>
          <w:p w14:paraId="0AE42E12" w14:textId="77777777" w:rsidR="00683874" w:rsidRDefault="00683874" w:rsidP="004178E0">
            <w:pPr>
              <w:rPr>
                <w:bCs/>
              </w:rPr>
            </w:pPr>
            <w:r>
              <w:rPr>
                <w:bCs/>
              </w:rPr>
              <w:t>Pharmaceutical denials</w:t>
            </w:r>
          </w:p>
        </w:tc>
      </w:tr>
      <w:tr w:rsidR="00683874" w14:paraId="66E9034A" w14:textId="77777777" w:rsidTr="003D2CCA">
        <w:tc>
          <w:tcPr>
            <w:tcW w:w="4045" w:type="dxa"/>
          </w:tcPr>
          <w:p w14:paraId="1134B11B" w14:textId="77777777" w:rsidR="00683874" w:rsidRDefault="00683874" w:rsidP="004178E0">
            <w:pPr>
              <w:rPr>
                <w:bCs/>
              </w:rPr>
            </w:pPr>
            <w:r>
              <w:rPr>
                <w:bCs/>
              </w:rPr>
              <w:t>Dentists</w:t>
            </w:r>
          </w:p>
        </w:tc>
        <w:tc>
          <w:tcPr>
            <w:tcW w:w="5580" w:type="dxa"/>
          </w:tcPr>
          <w:p w14:paraId="2D7B1BDF" w14:textId="77777777" w:rsidR="00683874" w:rsidRDefault="00683874" w:rsidP="004178E0">
            <w:pPr>
              <w:rPr>
                <w:bCs/>
              </w:rPr>
            </w:pPr>
            <w:r>
              <w:rPr>
                <w:bCs/>
              </w:rPr>
              <w:t>Dental denials</w:t>
            </w:r>
          </w:p>
        </w:tc>
      </w:tr>
      <w:tr w:rsidR="00683874" w14:paraId="2C09B20C" w14:textId="77777777" w:rsidTr="003D2CCA">
        <w:tc>
          <w:tcPr>
            <w:tcW w:w="4045" w:type="dxa"/>
          </w:tcPr>
          <w:p w14:paraId="14302073" w14:textId="77777777" w:rsidR="00683874" w:rsidRDefault="00683874" w:rsidP="004178E0">
            <w:pPr>
              <w:rPr>
                <w:bCs/>
              </w:rPr>
            </w:pPr>
            <w:r>
              <w:rPr>
                <w:bCs/>
              </w:rPr>
              <w:t>Chiropractors</w:t>
            </w:r>
          </w:p>
        </w:tc>
        <w:tc>
          <w:tcPr>
            <w:tcW w:w="5580" w:type="dxa"/>
          </w:tcPr>
          <w:p w14:paraId="1559AB34" w14:textId="77777777" w:rsidR="00683874" w:rsidRDefault="00683874" w:rsidP="004178E0">
            <w:pPr>
              <w:rPr>
                <w:bCs/>
              </w:rPr>
            </w:pPr>
            <w:r>
              <w:rPr>
                <w:bCs/>
              </w:rPr>
              <w:t>Chiropractic denials</w:t>
            </w:r>
          </w:p>
        </w:tc>
      </w:tr>
      <w:tr w:rsidR="00683874" w14:paraId="600F3666" w14:textId="77777777" w:rsidTr="003D2CCA">
        <w:tc>
          <w:tcPr>
            <w:tcW w:w="4045" w:type="dxa"/>
          </w:tcPr>
          <w:p w14:paraId="0B004D21" w14:textId="77777777" w:rsidR="00683874" w:rsidRDefault="00683874" w:rsidP="00FA0BEA">
            <w:pPr>
              <w:rPr>
                <w:bCs/>
              </w:rPr>
            </w:pPr>
            <w:r>
              <w:rPr>
                <w:bCs/>
              </w:rPr>
              <w:t>Physical therapists</w:t>
            </w:r>
          </w:p>
        </w:tc>
        <w:tc>
          <w:tcPr>
            <w:tcW w:w="5580" w:type="dxa"/>
          </w:tcPr>
          <w:p w14:paraId="259BAB81" w14:textId="77777777" w:rsidR="00683874" w:rsidRDefault="00683874" w:rsidP="00FA0BEA">
            <w:pPr>
              <w:rPr>
                <w:bCs/>
              </w:rPr>
            </w:pPr>
            <w:r>
              <w:rPr>
                <w:bCs/>
              </w:rPr>
              <w:t>Physical therapy denials</w:t>
            </w:r>
          </w:p>
        </w:tc>
      </w:tr>
      <w:tr w:rsidR="003D28FE" w14:paraId="10C35590" w14:textId="77777777" w:rsidTr="003D2CCA">
        <w:tc>
          <w:tcPr>
            <w:tcW w:w="4045" w:type="dxa"/>
          </w:tcPr>
          <w:p w14:paraId="083F7427" w14:textId="0F85E169" w:rsidR="003D28FE" w:rsidRDefault="003D28FE" w:rsidP="00FA0BEA">
            <w:pPr>
              <w:rPr>
                <w:bCs/>
              </w:rPr>
            </w:pPr>
            <w:r w:rsidRPr="003D28FE">
              <w:rPr>
                <w:bCs/>
              </w:rPr>
              <w:t>Advanced practice registered nurses (such as nurse practitioners and clinical nurse specialists)</w:t>
            </w:r>
          </w:p>
        </w:tc>
        <w:tc>
          <w:tcPr>
            <w:tcW w:w="5580" w:type="dxa"/>
          </w:tcPr>
          <w:p w14:paraId="0557B4E5" w14:textId="54913306" w:rsidR="003D28FE" w:rsidRDefault="003D28FE" w:rsidP="00FA0BEA">
            <w:pPr>
              <w:rPr>
                <w:bCs/>
              </w:rPr>
            </w:pPr>
            <w:r w:rsidRPr="003D28FE">
              <w:rPr>
                <w:bCs/>
              </w:rPr>
              <w:t>Requests within the scope of the license, when acting as independent practitioners in accordance with the state practice act or regulation</w:t>
            </w:r>
          </w:p>
        </w:tc>
      </w:tr>
      <w:tr w:rsidR="003D28FE" w14:paraId="08396E01" w14:textId="77777777" w:rsidTr="003D2CCA">
        <w:tc>
          <w:tcPr>
            <w:tcW w:w="4045" w:type="dxa"/>
          </w:tcPr>
          <w:p w14:paraId="6DA26CFA" w14:textId="4C8C5E9C" w:rsidR="003D28FE" w:rsidRPr="003D28FE" w:rsidRDefault="003D28FE" w:rsidP="00FA0BEA">
            <w:pPr>
              <w:rPr>
                <w:bCs/>
              </w:rPr>
            </w:pPr>
            <w:r w:rsidRPr="003D28FE">
              <w:rPr>
                <w:bCs/>
                <w:i/>
              </w:rPr>
              <w:t>Doctoral</w:t>
            </w:r>
            <w:r w:rsidRPr="003D28FE">
              <w:rPr>
                <w:bCs/>
              </w:rPr>
              <w:t>-level Board-Certified Behavioral Analysts</w:t>
            </w:r>
          </w:p>
        </w:tc>
        <w:tc>
          <w:tcPr>
            <w:tcW w:w="5580" w:type="dxa"/>
          </w:tcPr>
          <w:p w14:paraId="0B3B97C1" w14:textId="243D4393" w:rsidR="003D28FE" w:rsidRPr="003D28FE" w:rsidRDefault="003D28FE" w:rsidP="00C61C7D">
            <w:pPr>
              <w:rPr>
                <w:bCs/>
              </w:rPr>
            </w:pPr>
            <w:r w:rsidRPr="003D28FE">
              <w:rPr>
                <w:bCs/>
              </w:rPr>
              <w:t xml:space="preserve">Applied behavioral analysis </w:t>
            </w:r>
            <w:r w:rsidR="00C61C7D" w:rsidRPr="00824B2C">
              <w:rPr>
                <w:b/>
                <w:bCs/>
              </w:rPr>
              <w:t>appeals</w:t>
            </w:r>
            <w:r w:rsidRPr="003D28FE">
              <w:rPr>
                <w:bCs/>
              </w:rPr>
              <w:t>.</w:t>
            </w:r>
          </w:p>
        </w:tc>
      </w:tr>
    </w:tbl>
    <w:p w14:paraId="42A6CC48" w14:textId="77777777" w:rsidR="00683874" w:rsidRPr="003D1668" w:rsidRDefault="00C859C3" w:rsidP="00C859C3">
      <w:pPr>
        <w:pStyle w:val="Heading2"/>
        <w:rPr>
          <w:b w:val="0"/>
          <w:u w:val="none"/>
        </w:rPr>
      </w:pPr>
      <w:r w:rsidRPr="003D1668">
        <w:rPr>
          <w:b w:val="0"/>
          <w:u w:val="none"/>
        </w:rPr>
        <w:t xml:space="preserve">*State mandates may alter which </w:t>
      </w:r>
      <w:r w:rsidR="003D1668">
        <w:rPr>
          <w:b w:val="0"/>
          <w:u w:val="none"/>
        </w:rPr>
        <w:t>practitioner</w:t>
      </w:r>
      <w:r w:rsidRPr="003D1668">
        <w:rPr>
          <w:b w:val="0"/>
          <w:u w:val="none"/>
        </w:rPr>
        <w:t xml:space="preserve"> types are appropriate for denial decisions.</w:t>
      </w:r>
    </w:p>
    <w:p w14:paraId="13F7CF35" w14:textId="77777777" w:rsidR="00C859C3" w:rsidRPr="00C859C3" w:rsidRDefault="00C859C3" w:rsidP="003D1668"/>
    <w:p w14:paraId="24D4F10F" w14:textId="77777777" w:rsidR="00683874" w:rsidRPr="00683874" w:rsidRDefault="00683874" w:rsidP="00683874">
      <w:pPr>
        <w:pStyle w:val="Heading2"/>
        <w:rPr>
          <w:u w:val="none"/>
        </w:rPr>
      </w:pPr>
      <w:r w:rsidRPr="00683874">
        <w:rPr>
          <w:u w:val="none"/>
        </w:rPr>
        <w:t xml:space="preserve">Definitions </w:t>
      </w:r>
    </w:p>
    <w:p w14:paraId="183086E5" w14:textId="77777777" w:rsidR="00683874" w:rsidRPr="002C6ED5" w:rsidRDefault="00683874" w:rsidP="00683874">
      <w:pPr>
        <w:autoSpaceDE w:val="0"/>
        <w:autoSpaceDN w:val="0"/>
        <w:adjustRightInd w:val="0"/>
      </w:pPr>
      <w:r w:rsidRPr="002C6ED5">
        <w:rPr>
          <w:color w:val="000000"/>
        </w:rPr>
        <w:t xml:space="preserve">Unless defined differently by </w:t>
      </w:r>
      <w:r w:rsidR="002E27DC">
        <w:rPr>
          <w:color w:val="000000"/>
        </w:rPr>
        <w:t xml:space="preserve">the </w:t>
      </w:r>
      <w:r w:rsidRPr="002C6ED5">
        <w:rPr>
          <w:color w:val="000000"/>
        </w:rPr>
        <w:t>members’ Benefit Plan Contract</w:t>
      </w:r>
      <w:r>
        <w:rPr>
          <w:color w:val="000000"/>
        </w:rPr>
        <w:t xml:space="preserve"> or the applicable provider agreement</w:t>
      </w:r>
      <w:r w:rsidRPr="002C6ED5">
        <w:rPr>
          <w:color w:val="000000"/>
        </w:rPr>
        <w:t xml:space="preserve">, </w:t>
      </w:r>
      <w:r>
        <w:rPr>
          <w:color w:val="000000"/>
        </w:rPr>
        <w:t>the Health Plan</w:t>
      </w:r>
      <w:r w:rsidRPr="002C6ED5">
        <w:rPr>
          <w:color w:val="000000"/>
        </w:rPr>
        <w:t xml:space="preserve"> </w:t>
      </w:r>
      <w:r>
        <w:rPr>
          <w:color w:val="000000"/>
        </w:rPr>
        <w:t>uses the following definitions</w:t>
      </w:r>
      <w:r w:rsidRPr="002C6ED5">
        <w:rPr>
          <w:color w:val="000000"/>
        </w:rPr>
        <w:t>:</w:t>
      </w:r>
    </w:p>
    <w:p w14:paraId="18B3CCBF" w14:textId="77777777" w:rsidR="00683874" w:rsidRPr="002C6ED5" w:rsidRDefault="00683874" w:rsidP="00683874">
      <w:pPr>
        <w:rPr>
          <w:b/>
          <w:bCs/>
          <w:u w:val="single"/>
        </w:rPr>
      </w:pPr>
    </w:p>
    <w:p w14:paraId="44C26ECA" w14:textId="77777777" w:rsidR="00683874" w:rsidRPr="002C6ED5" w:rsidRDefault="00683874" w:rsidP="00683874">
      <w:pPr>
        <w:numPr>
          <w:ilvl w:val="0"/>
          <w:numId w:val="11"/>
        </w:numPr>
        <w:ind w:left="360"/>
      </w:pPr>
      <w:r w:rsidRPr="00720CC7">
        <w:rPr>
          <w:b/>
        </w:rPr>
        <w:t xml:space="preserve">Medically </w:t>
      </w:r>
      <w:r>
        <w:rPr>
          <w:b/>
        </w:rPr>
        <w:t>n</w:t>
      </w:r>
      <w:r w:rsidRPr="00720CC7">
        <w:rPr>
          <w:b/>
        </w:rPr>
        <w:t>ecessary</w:t>
      </w:r>
      <w:r w:rsidRPr="002C6ED5">
        <w:t xml:space="preserve"> or </w:t>
      </w:r>
      <w:r>
        <w:t>m</w:t>
      </w:r>
      <w:r w:rsidRPr="002C6ED5">
        <w:t xml:space="preserve">edical </w:t>
      </w:r>
      <w:r>
        <w:t>n</w:t>
      </w:r>
      <w:r w:rsidRPr="002C6ED5">
        <w:t>ecessity shall mean health care services that a physician, exercising prudent clinical judgment, would provide to a patient for the purpose of preventing, evaluating, diagnosing</w:t>
      </w:r>
      <w:r w:rsidR="002E27DC">
        <w:t>,</w:t>
      </w:r>
      <w:r w:rsidRPr="002C6ED5">
        <w:t xml:space="preserve"> or treating an illness, injury, disease</w:t>
      </w:r>
      <w:r w:rsidR="002E27DC">
        <w:t>,</w:t>
      </w:r>
      <w:r w:rsidRPr="002C6ED5">
        <w:t xml:space="preserve"> or its symptoms, and that are:</w:t>
      </w:r>
    </w:p>
    <w:p w14:paraId="72210615" w14:textId="77777777" w:rsidR="00683874" w:rsidRPr="009304CF" w:rsidRDefault="00683874" w:rsidP="00683874">
      <w:pPr>
        <w:numPr>
          <w:ilvl w:val="0"/>
          <w:numId w:val="10"/>
        </w:numPr>
        <w:rPr>
          <w:color w:val="000000"/>
        </w:rPr>
      </w:pPr>
      <w:r>
        <w:rPr>
          <w:color w:val="000000"/>
        </w:rPr>
        <w:t>I</w:t>
      </w:r>
      <w:r w:rsidRPr="009304CF">
        <w:rPr>
          <w:color w:val="000000"/>
        </w:rPr>
        <w:t>n accordance with generally accepted standards of medical practice;</w:t>
      </w:r>
    </w:p>
    <w:p w14:paraId="77F35780" w14:textId="77777777" w:rsidR="00683874" w:rsidRPr="009304CF" w:rsidRDefault="00683874" w:rsidP="00683874">
      <w:pPr>
        <w:numPr>
          <w:ilvl w:val="0"/>
          <w:numId w:val="10"/>
        </w:numPr>
        <w:rPr>
          <w:color w:val="000000"/>
        </w:rPr>
      </w:pPr>
      <w:r>
        <w:rPr>
          <w:color w:val="000000"/>
        </w:rPr>
        <w:t>Cl</w:t>
      </w:r>
      <w:r w:rsidRPr="009304CF">
        <w:rPr>
          <w:color w:val="000000"/>
        </w:rPr>
        <w:t>inically appropriate, in terms of type, frequency, extent, site</w:t>
      </w:r>
      <w:r w:rsidR="002E27DC">
        <w:rPr>
          <w:color w:val="000000"/>
        </w:rPr>
        <w:t>,</w:t>
      </w:r>
      <w:r w:rsidRPr="009304CF">
        <w:rPr>
          <w:color w:val="000000"/>
        </w:rPr>
        <w:t xml:space="preserve"> and duration, and considered effective for the patient's illness, injury</w:t>
      </w:r>
      <w:r w:rsidR="002E27DC">
        <w:rPr>
          <w:color w:val="000000"/>
        </w:rPr>
        <w:t>,</w:t>
      </w:r>
      <w:r w:rsidRPr="009304CF">
        <w:rPr>
          <w:color w:val="000000"/>
        </w:rPr>
        <w:t xml:space="preserve"> or disease; and</w:t>
      </w:r>
    </w:p>
    <w:p w14:paraId="4D70BDB7" w14:textId="77777777" w:rsidR="00683874" w:rsidRDefault="00683874" w:rsidP="00683874">
      <w:pPr>
        <w:numPr>
          <w:ilvl w:val="0"/>
          <w:numId w:val="10"/>
        </w:numPr>
      </w:pPr>
      <w:r>
        <w:rPr>
          <w:color w:val="000000"/>
        </w:rPr>
        <w:t>N</w:t>
      </w:r>
      <w:r w:rsidRPr="009304CF">
        <w:rPr>
          <w:color w:val="000000"/>
        </w:rPr>
        <w:t>ot primarily for the convenience of the patient, physician</w:t>
      </w:r>
      <w:r w:rsidR="002E27DC">
        <w:rPr>
          <w:color w:val="000000"/>
        </w:rPr>
        <w:t>,</w:t>
      </w:r>
      <w:r w:rsidRPr="009304CF">
        <w:rPr>
          <w:color w:val="000000"/>
        </w:rPr>
        <w:t xml:space="preserve"> or other health care provider, and not more costly than an alternative service or sequence of services at least as likely to produce equivalent therapeutic or diagnostic results as to the diagnosis or treatment of that patient's</w:t>
      </w:r>
      <w:r w:rsidRPr="002C6ED5">
        <w:t xml:space="preserve"> illness, injury</w:t>
      </w:r>
      <w:r w:rsidR="002E27DC">
        <w:t>,</w:t>
      </w:r>
      <w:r w:rsidRPr="002C6ED5">
        <w:t xml:space="preserve"> or disease.</w:t>
      </w:r>
    </w:p>
    <w:p w14:paraId="792AE4D4" w14:textId="77777777" w:rsidR="00683874" w:rsidRDefault="00683874" w:rsidP="00683874">
      <w:pPr>
        <w:ind w:left="720"/>
      </w:pPr>
    </w:p>
    <w:p w14:paraId="7D998090" w14:textId="77777777" w:rsidR="00683874" w:rsidRDefault="00683874" w:rsidP="00683874">
      <w:pPr>
        <w:ind w:left="450"/>
        <w:rPr>
          <w:bCs/>
          <w:color w:val="000000"/>
        </w:rPr>
      </w:pPr>
      <w:r>
        <w:t xml:space="preserve">Medically necessary health care services </w:t>
      </w:r>
      <w:r w:rsidR="002E27DC">
        <w:t xml:space="preserve">may </w:t>
      </w:r>
      <w:r>
        <w:t>not include experimental and/or investigational technologies or carve-out days.</w:t>
      </w:r>
    </w:p>
    <w:p w14:paraId="04E615B8" w14:textId="77777777" w:rsidR="00FB0592" w:rsidRDefault="00FB0592" w:rsidP="00FB0592">
      <w:pPr>
        <w:rPr>
          <w:b/>
          <w:bCs/>
        </w:rPr>
      </w:pPr>
    </w:p>
    <w:p w14:paraId="09DBDBA2" w14:textId="77777777" w:rsidR="00683874" w:rsidRDefault="00683874" w:rsidP="00683874">
      <w:pPr>
        <w:numPr>
          <w:ilvl w:val="0"/>
          <w:numId w:val="11"/>
        </w:numPr>
        <w:ind w:left="360"/>
      </w:pPr>
      <w:r>
        <w:rPr>
          <w:b/>
        </w:rPr>
        <w:t>G</w:t>
      </w:r>
      <w:r w:rsidRPr="00720CC7">
        <w:rPr>
          <w:b/>
        </w:rPr>
        <w:t>enerally accepted standards of medical practice</w:t>
      </w:r>
      <w:r w:rsidRPr="002C6ED5">
        <w:t xml:space="preserve"> means standards that are based </w:t>
      </w:r>
      <w:r w:rsidR="002E27DC">
        <w:t>up</w:t>
      </w:r>
      <w:r w:rsidRPr="002C6ED5">
        <w:t>on credible scientific evidence published in peer</w:t>
      </w:r>
      <w:r w:rsidRPr="002C6ED5">
        <w:rPr>
          <w:rFonts w:ascii="Cambria Math" w:hAnsi="Cambria Math" w:cs="Cambria Math"/>
        </w:rPr>
        <w:t>‐</w:t>
      </w:r>
      <w:r w:rsidRPr="002C6ED5">
        <w:t>reviewed medical literature recognized by the medical community</w:t>
      </w:r>
      <w:r>
        <w:t xml:space="preserve"> at large</w:t>
      </w:r>
      <w:r w:rsidRPr="002C6ED5">
        <w:t xml:space="preserve"> or otherwise consistent with the standards set forth in policy issues involving clinical judgment.</w:t>
      </w:r>
    </w:p>
    <w:p w14:paraId="52859AA3" w14:textId="77777777" w:rsidR="00683874" w:rsidRDefault="00683874" w:rsidP="00683874"/>
    <w:p w14:paraId="6A8A2F50" w14:textId="77777777" w:rsidR="00683874" w:rsidRDefault="00683874" w:rsidP="00683874">
      <w:pPr>
        <w:numPr>
          <w:ilvl w:val="0"/>
          <w:numId w:val="11"/>
        </w:numPr>
        <w:ind w:left="360"/>
        <w:rPr>
          <w:bCs/>
        </w:rPr>
      </w:pPr>
      <w:r w:rsidRPr="00720CC7">
        <w:rPr>
          <w:b/>
          <w:bCs/>
        </w:rPr>
        <w:t>Experimental and/or investigational technologies</w:t>
      </w:r>
      <w:r>
        <w:rPr>
          <w:bCs/>
        </w:rPr>
        <w:t xml:space="preserve"> are defined as any drugs, procedures, </w:t>
      </w:r>
      <w:r w:rsidR="00D543E7">
        <w:rPr>
          <w:bCs/>
        </w:rPr>
        <w:t xml:space="preserve">treatments, </w:t>
      </w:r>
      <w:r>
        <w:rPr>
          <w:bCs/>
        </w:rPr>
        <w:t>devices</w:t>
      </w:r>
      <w:r w:rsidR="00D543E7">
        <w:rPr>
          <w:bCs/>
        </w:rPr>
        <w:t>, supplies</w:t>
      </w:r>
      <w:r w:rsidR="002E27DC">
        <w:rPr>
          <w:bCs/>
        </w:rPr>
        <w:t>,</w:t>
      </w:r>
      <w:r>
        <w:rPr>
          <w:bCs/>
        </w:rPr>
        <w:t xml:space="preserve"> and other health care services</w:t>
      </w:r>
      <w:r w:rsidR="007F5718">
        <w:rPr>
          <w:bCs/>
        </w:rPr>
        <w:t xml:space="preserve"> (“Service”)</w:t>
      </w:r>
      <w:r>
        <w:rPr>
          <w:bCs/>
        </w:rPr>
        <w:t xml:space="preserve"> </w:t>
      </w:r>
      <w:r w:rsidR="00D543E7">
        <w:rPr>
          <w:bCs/>
        </w:rPr>
        <w:t>that are</w:t>
      </w:r>
      <w:r>
        <w:rPr>
          <w:bCs/>
        </w:rPr>
        <w:t xml:space="preserve"> </w:t>
      </w:r>
      <w:r w:rsidR="00CC0A71">
        <w:rPr>
          <w:bCs/>
        </w:rPr>
        <w:t>any of the following</w:t>
      </w:r>
      <w:r>
        <w:rPr>
          <w:bCs/>
        </w:rPr>
        <w:t>:</w:t>
      </w:r>
    </w:p>
    <w:p w14:paraId="5245F092" w14:textId="77777777" w:rsidR="00C27391" w:rsidRDefault="00C27391" w:rsidP="00400300">
      <w:pPr>
        <w:pStyle w:val="ListParagraph"/>
        <w:numPr>
          <w:ilvl w:val="0"/>
          <w:numId w:val="18"/>
        </w:numPr>
      </w:pPr>
      <w:r>
        <w:t>It is currently the subject of active and credible evaluation (e.g., clinical trials or research) to determine:</w:t>
      </w:r>
    </w:p>
    <w:p w14:paraId="602AE914" w14:textId="77777777" w:rsidR="00C27391" w:rsidRDefault="00C27391" w:rsidP="00400300">
      <w:pPr>
        <w:pStyle w:val="ListParagraph"/>
        <w:numPr>
          <w:ilvl w:val="1"/>
          <w:numId w:val="18"/>
        </w:numPr>
        <w:ind w:left="1080"/>
      </w:pPr>
      <w:r>
        <w:t xml:space="preserve">Clinical efficacy, </w:t>
      </w:r>
      <w:r>
        <w:rPr>
          <w:i/>
        </w:rPr>
        <w:t>or</w:t>
      </w:r>
    </w:p>
    <w:p w14:paraId="693C8E83" w14:textId="77777777" w:rsidR="00C27391" w:rsidRPr="00400300" w:rsidRDefault="00C27391" w:rsidP="00400300">
      <w:pPr>
        <w:pStyle w:val="ListParagraph"/>
        <w:numPr>
          <w:ilvl w:val="1"/>
          <w:numId w:val="18"/>
        </w:numPr>
        <w:ind w:left="1080"/>
      </w:pPr>
      <w:r>
        <w:lastRenderedPageBreak/>
        <w:t xml:space="preserve">Therapeutic value or beneficial effects on health outcomes, </w:t>
      </w:r>
      <w:r>
        <w:rPr>
          <w:i/>
        </w:rPr>
        <w:t>or</w:t>
      </w:r>
    </w:p>
    <w:p w14:paraId="53342728" w14:textId="77777777" w:rsidR="00C27391" w:rsidRDefault="00C27391" w:rsidP="00400300">
      <w:pPr>
        <w:pStyle w:val="ListParagraph"/>
        <w:numPr>
          <w:ilvl w:val="1"/>
          <w:numId w:val="18"/>
        </w:numPr>
        <w:ind w:left="1080"/>
      </w:pPr>
      <w:r>
        <w:t>Benefits beyond any established medical based alternatives.</w:t>
      </w:r>
    </w:p>
    <w:p w14:paraId="12CF1522" w14:textId="77777777" w:rsidR="00C27391" w:rsidRDefault="00C27391" w:rsidP="00400300">
      <w:pPr>
        <w:pStyle w:val="ListParagraph"/>
        <w:numPr>
          <w:ilvl w:val="0"/>
          <w:numId w:val="18"/>
        </w:numPr>
      </w:pPr>
      <w:r>
        <w:t>It does not have final clearance from applicable governmental regulatory bodies (such as the US Food and Drug Administration "FDA") and unrestricted market approval for use in the treatment of a specified medical condition or the condition for which authorization of the Service is requested and is the subject of an active and credible evaluation.</w:t>
      </w:r>
    </w:p>
    <w:p w14:paraId="2D6A6689" w14:textId="77777777" w:rsidR="00C27391" w:rsidRPr="00B17590" w:rsidRDefault="00C27391" w:rsidP="00400300">
      <w:pPr>
        <w:pStyle w:val="ListParagraph"/>
        <w:numPr>
          <w:ilvl w:val="0"/>
          <w:numId w:val="18"/>
        </w:numPr>
      </w:pPr>
      <w:r>
        <w:t>The most recent peer-reviewed scientific studies published or accepted for publication by nationally recognized medical journals do not conclude, or are inconclusive in finding, that the Service is safe and effective for the treatment of the condition for which authorization of the Service is requested.</w:t>
      </w:r>
    </w:p>
    <w:p w14:paraId="65EC5D8D" w14:textId="77777777" w:rsidR="00683874" w:rsidRDefault="00683874" w:rsidP="00683874">
      <w:pPr>
        <w:rPr>
          <w:bCs/>
        </w:rPr>
      </w:pPr>
    </w:p>
    <w:p w14:paraId="37CDC483" w14:textId="77777777" w:rsidR="00C27391" w:rsidRDefault="00C27391">
      <w:pPr>
        <w:numPr>
          <w:ilvl w:val="0"/>
          <w:numId w:val="11"/>
        </w:numPr>
        <w:ind w:left="360"/>
        <w:rPr>
          <w:b/>
          <w:bCs/>
        </w:rPr>
      </w:pPr>
      <w:r w:rsidRPr="00400300">
        <w:rPr>
          <w:b/>
          <w:bCs/>
        </w:rPr>
        <w:t>Not medically necessary and not investigational</w:t>
      </w:r>
      <w:r w:rsidR="007F5718">
        <w:rPr>
          <w:bCs/>
        </w:rPr>
        <w:t>:</w:t>
      </w:r>
      <w:r>
        <w:rPr>
          <w:bCs/>
        </w:rPr>
        <w:t xml:space="preserve"> evaluations and clinical recommendations that are assessed according to the scientific quality of the supporting evidence and rational</w:t>
      </w:r>
      <w:r w:rsidR="00A84F56">
        <w:rPr>
          <w:bCs/>
        </w:rPr>
        <w:t>e</w:t>
      </w:r>
      <w:r>
        <w:rPr>
          <w:bCs/>
        </w:rPr>
        <w:t xml:space="preserve"> (e.g., national medical associations, independent panels, or technology assessment organizations). A service is considered not medically necessary and not investigational when:</w:t>
      </w:r>
    </w:p>
    <w:p w14:paraId="6BF8AAB5" w14:textId="77777777" w:rsidR="00C27391" w:rsidRPr="00400300" w:rsidRDefault="00C27391" w:rsidP="00400300">
      <w:pPr>
        <w:numPr>
          <w:ilvl w:val="1"/>
          <w:numId w:val="11"/>
        </w:numPr>
        <w:ind w:left="720"/>
        <w:rPr>
          <w:b/>
          <w:bCs/>
        </w:rPr>
      </w:pPr>
      <w:r>
        <w:rPr>
          <w:bCs/>
        </w:rPr>
        <w:t xml:space="preserve">There are no studies of the </w:t>
      </w:r>
      <w:r w:rsidR="00CC0A71">
        <w:rPr>
          <w:bCs/>
        </w:rPr>
        <w:t>s</w:t>
      </w:r>
      <w:r>
        <w:rPr>
          <w:bCs/>
        </w:rPr>
        <w:t xml:space="preserve">ervice </w:t>
      </w:r>
      <w:r w:rsidR="007F5718">
        <w:rPr>
          <w:bCs/>
        </w:rPr>
        <w:t>described</w:t>
      </w:r>
      <w:r>
        <w:rPr>
          <w:bCs/>
        </w:rPr>
        <w:t xml:space="preserve"> in recent, published peer-reviewed medical literature, </w:t>
      </w:r>
      <w:r>
        <w:rPr>
          <w:bCs/>
          <w:i/>
        </w:rPr>
        <w:t>or</w:t>
      </w:r>
    </w:p>
    <w:p w14:paraId="3DB9C8C8" w14:textId="77777777" w:rsidR="00C27391" w:rsidRPr="00400300" w:rsidRDefault="00C27391" w:rsidP="00400300">
      <w:pPr>
        <w:numPr>
          <w:ilvl w:val="1"/>
          <w:numId w:val="11"/>
        </w:numPr>
        <w:ind w:left="720"/>
        <w:rPr>
          <w:b/>
          <w:bCs/>
        </w:rPr>
      </w:pPr>
      <w:r>
        <w:rPr>
          <w:bCs/>
        </w:rPr>
        <w:t xml:space="preserve">There are no active or ongoing credible evaluations being undertaken of the </w:t>
      </w:r>
      <w:r w:rsidR="00CC0A71">
        <w:rPr>
          <w:bCs/>
        </w:rPr>
        <w:t>s</w:t>
      </w:r>
      <w:r>
        <w:rPr>
          <w:bCs/>
        </w:rPr>
        <w:t xml:space="preserve">ervice which has previously been considered not medically necessary, </w:t>
      </w:r>
      <w:r>
        <w:rPr>
          <w:bCs/>
          <w:i/>
        </w:rPr>
        <w:t>or</w:t>
      </w:r>
    </w:p>
    <w:p w14:paraId="1B587135" w14:textId="77777777" w:rsidR="00C27391" w:rsidRPr="00400300" w:rsidRDefault="00C27391" w:rsidP="00400300">
      <w:pPr>
        <w:numPr>
          <w:ilvl w:val="1"/>
          <w:numId w:val="11"/>
        </w:numPr>
        <w:ind w:left="720"/>
        <w:rPr>
          <w:b/>
          <w:bCs/>
        </w:rPr>
      </w:pPr>
      <w:r>
        <w:rPr>
          <w:bCs/>
        </w:rPr>
        <w:t xml:space="preserve">There is conclusive evidence in published peer-reviewed medical literature that the </w:t>
      </w:r>
      <w:r w:rsidR="00CC0A71">
        <w:rPr>
          <w:bCs/>
        </w:rPr>
        <w:t>s</w:t>
      </w:r>
      <w:r>
        <w:rPr>
          <w:bCs/>
        </w:rPr>
        <w:t xml:space="preserve">ervice is not effective, </w:t>
      </w:r>
      <w:r>
        <w:rPr>
          <w:bCs/>
          <w:i/>
        </w:rPr>
        <w:t>or</w:t>
      </w:r>
    </w:p>
    <w:p w14:paraId="2AFBBBD9" w14:textId="77777777" w:rsidR="00C27391" w:rsidRPr="00400300" w:rsidRDefault="00C27391" w:rsidP="00400300">
      <w:pPr>
        <w:numPr>
          <w:ilvl w:val="1"/>
          <w:numId w:val="11"/>
        </w:numPr>
        <w:ind w:left="720"/>
        <w:rPr>
          <w:b/>
          <w:bCs/>
        </w:rPr>
      </w:pPr>
      <w:r>
        <w:rPr>
          <w:bCs/>
        </w:rPr>
        <w:t xml:space="preserve">There are no peer-reviewed scientific studies published or accepted for publication by nationally recognized medical journals that demonstrate the safety and efficacy of the use of the </w:t>
      </w:r>
      <w:r w:rsidR="00CC0A71">
        <w:rPr>
          <w:bCs/>
        </w:rPr>
        <w:t>s</w:t>
      </w:r>
      <w:r>
        <w:rPr>
          <w:bCs/>
        </w:rPr>
        <w:t xml:space="preserve">ervice, </w:t>
      </w:r>
      <w:r>
        <w:rPr>
          <w:bCs/>
          <w:i/>
        </w:rPr>
        <w:t>or</w:t>
      </w:r>
    </w:p>
    <w:p w14:paraId="16623326" w14:textId="77777777" w:rsidR="00C27391" w:rsidRPr="00400300" w:rsidRDefault="00C27391" w:rsidP="00400300">
      <w:pPr>
        <w:numPr>
          <w:ilvl w:val="1"/>
          <w:numId w:val="11"/>
        </w:numPr>
        <w:ind w:left="720"/>
        <w:rPr>
          <w:b/>
          <w:bCs/>
        </w:rPr>
      </w:pPr>
      <w:r>
        <w:rPr>
          <w:bCs/>
        </w:rPr>
        <w:t>It is contraindicated.</w:t>
      </w:r>
    </w:p>
    <w:p w14:paraId="5050FEF0" w14:textId="77777777" w:rsidR="007F5718" w:rsidRPr="00400300" w:rsidRDefault="007F5718" w:rsidP="00400300">
      <w:pPr>
        <w:rPr>
          <w:b/>
          <w:bCs/>
        </w:rPr>
      </w:pPr>
    </w:p>
    <w:p w14:paraId="4E5117A0" w14:textId="77777777" w:rsidR="00683874" w:rsidRPr="00C27391" w:rsidRDefault="00683874">
      <w:pPr>
        <w:numPr>
          <w:ilvl w:val="0"/>
          <w:numId w:val="11"/>
        </w:numPr>
        <w:ind w:left="360"/>
        <w:rPr>
          <w:bCs/>
        </w:rPr>
      </w:pPr>
      <w:r w:rsidRPr="00C27391">
        <w:rPr>
          <w:bCs/>
        </w:rPr>
        <w:t>In relation to inpatient stays,</w:t>
      </w:r>
      <w:r w:rsidRPr="00C27391">
        <w:rPr>
          <w:b/>
          <w:bCs/>
        </w:rPr>
        <w:t xml:space="preserve"> carve-out days</w:t>
      </w:r>
      <w:r w:rsidRPr="00C27391">
        <w:rPr>
          <w:bCs/>
        </w:rPr>
        <w:t xml:space="preserve"> are defined as non-medically necessary inpatient hospital days that occur during an approved admission (i.e., the inpatient stay was prolonged unnecessarily).  Examples of circumstances giving rise to a carve-out day(s) include, but are not limited to:</w:t>
      </w:r>
    </w:p>
    <w:p w14:paraId="1804382F" w14:textId="77777777" w:rsidR="00683874" w:rsidRDefault="00683874" w:rsidP="00683874">
      <w:pPr>
        <w:numPr>
          <w:ilvl w:val="0"/>
          <w:numId w:val="13"/>
        </w:numPr>
        <w:rPr>
          <w:bCs/>
        </w:rPr>
      </w:pPr>
      <w:r w:rsidRPr="006A739C">
        <w:rPr>
          <w:bCs/>
        </w:rPr>
        <w:t>A day in which a member meets concurrent inpatient criteria, and needs a service during the stay (e.g., imaging, surgery, etc</w:t>
      </w:r>
      <w:r>
        <w:rPr>
          <w:bCs/>
        </w:rPr>
        <w:t>.</w:t>
      </w:r>
      <w:r w:rsidRPr="006A739C">
        <w:rPr>
          <w:bCs/>
        </w:rPr>
        <w:t xml:space="preserve">), but the service is not performed </w:t>
      </w:r>
      <w:r>
        <w:rPr>
          <w:bCs/>
        </w:rPr>
        <w:t>on the earliest possible date for reasons unrelated to the member’s clinical condition (e.g., MRI machine is down, o</w:t>
      </w:r>
      <w:r w:rsidRPr="006A739C">
        <w:rPr>
          <w:bCs/>
        </w:rPr>
        <w:t xml:space="preserve">perating </w:t>
      </w:r>
      <w:r>
        <w:rPr>
          <w:bCs/>
        </w:rPr>
        <w:t>r</w:t>
      </w:r>
      <w:r w:rsidRPr="006A739C">
        <w:rPr>
          <w:bCs/>
        </w:rPr>
        <w:t xml:space="preserve">oom time is not available or patient is bumped off schedule, </w:t>
      </w:r>
      <w:r>
        <w:rPr>
          <w:bCs/>
        </w:rPr>
        <w:t>a</w:t>
      </w:r>
      <w:r w:rsidRPr="006A739C">
        <w:rPr>
          <w:bCs/>
        </w:rPr>
        <w:t xml:space="preserve"> specialist did no</w:t>
      </w:r>
      <w:r>
        <w:rPr>
          <w:bCs/>
        </w:rPr>
        <w:t>t come in to perform a consult, etc.);</w:t>
      </w:r>
    </w:p>
    <w:p w14:paraId="74EC1B7E" w14:textId="77777777" w:rsidR="00683874" w:rsidRDefault="00683874" w:rsidP="00683874">
      <w:pPr>
        <w:numPr>
          <w:ilvl w:val="0"/>
          <w:numId w:val="13"/>
        </w:numPr>
        <w:rPr>
          <w:bCs/>
        </w:rPr>
      </w:pPr>
      <w:r>
        <w:rPr>
          <w:bCs/>
        </w:rPr>
        <w:t>A day that is solely “social” in nature (e.g., the member is waiting for foster placement, discharge instructions, etc.);</w:t>
      </w:r>
    </w:p>
    <w:p w14:paraId="20E7A85C" w14:textId="77777777" w:rsidR="00683874" w:rsidRPr="00407892" w:rsidRDefault="00683874" w:rsidP="00683874">
      <w:pPr>
        <w:numPr>
          <w:ilvl w:val="0"/>
          <w:numId w:val="13"/>
        </w:numPr>
        <w:rPr>
          <w:bCs/>
        </w:rPr>
      </w:pPr>
      <w:r w:rsidRPr="00407892">
        <w:rPr>
          <w:bCs/>
        </w:rPr>
        <w:t xml:space="preserve">A day at the end of a stay </w:t>
      </w:r>
      <w:r>
        <w:rPr>
          <w:bCs/>
        </w:rPr>
        <w:t>in which discharge</w:t>
      </w:r>
      <w:r w:rsidRPr="00407892">
        <w:rPr>
          <w:bCs/>
        </w:rPr>
        <w:t xml:space="preserve"> criteria are met but the member is not discharged</w:t>
      </w:r>
      <w:r>
        <w:rPr>
          <w:bCs/>
        </w:rPr>
        <w:t xml:space="preserve"> (due to, </w:t>
      </w:r>
      <w:r w:rsidRPr="00407892">
        <w:rPr>
          <w:bCs/>
        </w:rPr>
        <w:t xml:space="preserve">e.g., </w:t>
      </w:r>
      <w:r>
        <w:rPr>
          <w:bCs/>
        </w:rPr>
        <w:t xml:space="preserve">a </w:t>
      </w:r>
      <w:r w:rsidRPr="00407892">
        <w:rPr>
          <w:bCs/>
        </w:rPr>
        <w:t xml:space="preserve">transportation problem, DME not delivered to </w:t>
      </w:r>
      <w:r w:rsidR="002E27DC">
        <w:rPr>
          <w:bCs/>
        </w:rPr>
        <w:t xml:space="preserve">the </w:t>
      </w:r>
      <w:r w:rsidRPr="00407892">
        <w:rPr>
          <w:bCs/>
        </w:rPr>
        <w:t xml:space="preserve">home, staff too busy to </w:t>
      </w:r>
      <w:r>
        <w:rPr>
          <w:bCs/>
        </w:rPr>
        <w:t>discharge the</w:t>
      </w:r>
      <w:r w:rsidRPr="00407892">
        <w:rPr>
          <w:bCs/>
        </w:rPr>
        <w:t xml:space="preserve"> member, provider did not come in to write discharge order</w:t>
      </w:r>
      <w:r>
        <w:rPr>
          <w:bCs/>
        </w:rPr>
        <w:t>, the member is waiting for a SNF placement, etc.)</w:t>
      </w:r>
      <w:r w:rsidRPr="00407892">
        <w:rPr>
          <w:bCs/>
        </w:rPr>
        <w:t>.</w:t>
      </w:r>
    </w:p>
    <w:p w14:paraId="7232A75D" w14:textId="77777777" w:rsidR="00683874" w:rsidRPr="00A43935" w:rsidRDefault="00683874" w:rsidP="00683874">
      <w:pPr>
        <w:numPr>
          <w:ilvl w:val="0"/>
          <w:numId w:val="13"/>
        </w:numPr>
      </w:pPr>
      <w:r>
        <w:rPr>
          <w:bCs/>
        </w:rPr>
        <w:t>A day of care that is</w:t>
      </w:r>
      <w:r w:rsidR="00A84F56">
        <w:rPr>
          <w:bCs/>
        </w:rPr>
        <w:t>,</w:t>
      </w:r>
      <w:r>
        <w:rPr>
          <w:bCs/>
        </w:rPr>
        <w:t xml:space="preserve"> or appears to be</w:t>
      </w:r>
      <w:r w:rsidR="00A84F56">
        <w:rPr>
          <w:bCs/>
        </w:rPr>
        <w:t>,</w:t>
      </w:r>
      <w:r>
        <w:rPr>
          <w:bCs/>
        </w:rPr>
        <w:t xml:space="preserve"> necessitated by</w:t>
      </w:r>
      <w:r w:rsidRPr="006A739C">
        <w:rPr>
          <w:bCs/>
        </w:rPr>
        <w:t xml:space="preserve"> quality of care issues or </w:t>
      </w:r>
      <w:r>
        <w:rPr>
          <w:bCs/>
        </w:rPr>
        <w:t xml:space="preserve">largely </w:t>
      </w:r>
      <w:r w:rsidRPr="006A739C">
        <w:rPr>
          <w:bCs/>
        </w:rPr>
        <w:t xml:space="preserve">preventable issues </w:t>
      </w:r>
      <w:r>
        <w:rPr>
          <w:bCs/>
        </w:rPr>
        <w:t>[e.g.,</w:t>
      </w:r>
      <w:r w:rsidRPr="006A739C">
        <w:rPr>
          <w:bCs/>
        </w:rPr>
        <w:t xml:space="preserve"> </w:t>
      </w:r>
      <w:r>
        <w:rPr>
          <w:bCs/>
        </w:rPr>
        <w:t>complication due to wrong medication dose</w:t>
      </w:r>
      <w:r w:rsidRPr="006A739C">
        <w:rPr>
          <w:bCs/>
        </w:rPr>
        <w:t>, central line</w:t>
      </w:r>
      <w:r>
        <w:rPr>
          <w:bCs/>
        </w:rPr>
        <w:t>-</w:t>
      </w:r>
      <w:r w:rsidRPr="006A739C">
        <w:rPr>
          <w:bCs/>
        </w:rPr>
        <w:t xml:space="preserve">associated blood stream infections </w:t>
      </w:r>
      <w:r>
        <w:rPr>
          <w:bCs/>
        </w:rPr>
        <w:t>(</w:t>
      </w:r>
      <w:r w:rsidRPr="006A739C">
        <w:rPr>
          <w:bCs/>
        </w:rPr>
        <w:t>which can include PICC lines and both tunneled and non-tunneled central lines</w:t>
      </w:r>
      <w:r>
        <w:rPr>
          <w:bCs/>
        </w:rPr>
        <w:t>)</w:t>
      </w:r>
      <w:r w:rsidRPr="006A739C">
        <w:rPr>
          <w:bCs/>
        </w:rPr>
        <w:t xml:space="preserve">, </w:t>
      </w:r>
      <w:proofErr w:type="spellStart"/>
      <w:r w:rsidRPr="006A739C">
        <w:rPr>
          <w:bCs/>
        </w:rPr>
        <w:t>ventriculitis</w:t>
      </w:r>
      <w:proofErr w:type="spellEnd"/>
      <w:r w:rsidRPr="006A739C">
        <w:rPr>
          <w:bCs/>
        </w:rPr>
        <w:t xml:space="preserve"> or meningitis in a patient with a reservoir </w:t>
      </w:r>
      <w:r>
        <w:rPr>
          <w:bCs/>
        </w:rPr>
        <w:t>who is</w:t>
      </w:r>
      <w:r w:rsidRPr="006A739C">
        <w:rPr>
          <w:bCs/>
        </w:rPr>
        <w:t xml:space="preserve"> receiving taps </w:t>
      </w:r>
      <w:r>
        <w:rPr>
          <w:bCs/>
        </w:rPr>
        <w:t>in place of</w:t>
      </w:r>
      <w:r w:rsidRPr="006A739C">
        <w:rPr>
          <w:bCs/>
        </w:rPr>
        <w:t xml:space="preserve"> a shunt </w:t>
      </w:r>
      <w:r>
        <w:rPr>
          <w:bCs/>
        </w:rPr>
        <w:t>and</w:t>
      </w:r>
      <w:r w:rsidRPr="006A739C">
        <w:rPr>
          <w:bCs/>
        </w:rPr>
        <w:t xml:space="preserve"> who is 2000 gram</w:t>
      </w:r>
      <w:r>
        <w:rPr>
          <w:bCs/>
        </w:rPr>
        <w:t>s</w:t>
      </w:r>
      <w:r w:rsidRPr="006A739C">
        <w:rPr>
          <w:bCs/>
        </w:rPr>
        <w:t xml:space="preserve"> or greater in weight; </w:t>
      </w:r>
      <w:r>
        <w:rPr>
          <w:bCs/>
        </w:rPr>
        <w:t>i</w:t>
      </w:r>
      <w:r w:rsidRPr="006A739C">
        <w:rPr>
          <w:bCs/>
        </w:rPr>
        <w:t xml:space="preserve">nfections </w:t>
      </w:r>
      <w:r w:rsidRPr="006A739C">
        <w:rPr>
          <w:bCs/>
        </w:rPr>
        <w:lastRenderedPageBreak/>
        <w:t>with resistant hospital flora such as MRSA (methicillin resistant Staphylococcus</w:t>
      </w:r>
      <w:r w:rsidRPr="00F4085A">
        <w:t xml:space="preserve"> </w:t>
      </w:r>
      <w:r>
        <w:t>a</w:t>
      </w:r>
      <w:r w:rsidRPr="00F4085A">
        <w:t>ureus) or VRE (</w:t>
      </w:r>
      <w:r>
        <w:t>vancomycin r</w:t>
      </w:r>
      <w:r w:rsidRPr="00F4085A">
        <w:t xml:space="preserve">esistant </w:t>
      </w:r>
      <w:r>
        <w:t>en</w:t>
      </w:r>
      <w:r w:rsidRPr="00F4085A">
        <w:t>terococcus)</w:t>
      </w:r>
      <w:r>
        <w:t>, etc.]</w:t>
      </w:r>
      <w:r w:rsidRPr="00F4085A">
        <w:t>.</w:t>
      </w:r>
      <w:r w:rsidRPr="006A739C">
        <w:rPr>
          <w:bCs/>
        </w:rPr>
        <w:t xml:space="preserve">  </w:t>
      </w:r>
    </w:p>
    <w:p w14:paraId="1C4B81BD" w14:textId="77777777" w:rsidR="00683874" w:rsidRDefault="00683874" w:rsidP="00683874">
      <w:pPr>
        <w:rPr>
          <w:bCs/>
        </w:rPr>
      </w:pPr>
    </w:p>
    <w:p w14:paraId="17BCF951" w14:textId="77777777" w:rsidR="00683874" w:rsidRPr="003B3FAC" w:rsidRDefault="00683874" w:rsidP="00683874">
      <w:pPr>
        <w:numPr>
          <w:ilvl w:val="0"/>
          <w:numId w:val="11"/>
        </w:numPr>
        <w:ind w:left="360"/>
      </w:pPr>
      <w:r w:rsidRPr="003B3FAC">
        <w:t>The terms “</w:t>
      </w:r>
      <w:r w:rsidRPr="003B3FAC">
        <w:rPr>
          <w:b/>
        </w:rPr>
        <w:t>never events</w:t>
      </w:r>
      <w:r w:rsidR="002E27DC">
        <w:rPr>
          <w:b/>
        </w:rPr>
        <w:t>,</w:t>
      </w:r>
      <w:r w:rsidRPr="003B3FAC">
        <w:t>” “</w:t>
      </w:r>
      <w:r w:rsidRPr="003B3FAC">
        <w:rPr>
          <w:b/>
        </w:rPr>
        <w:t>serious reportable events</w:t>
      </w:r>
      <w:r w:rsidR="002E27DC">
        <w:rPr>
          <w:b/>
        </w:rPr>
        <w:t>,</w:t>
      </w:r>
      <w:r w:rsidRPr="003B3FAC">
        <w:t>” and “</w:t>
      </w:r>
      <w:r w:rsidRPr="003B3FAC">
        <w:rPr>
          <w:b/>
        </w:rPr>
        <w:t>non-reimbursable serious hospital-acquired conditions</w:t>
      </w:r>
      <w:r w:rsidRPr="003B3FAC">
        <w:t>” all refer to serious adverse events occurring in facilities that are largely preventable and of concern to both the public and to health care providers. Based on the</w:t>
      </w:r>
      <w:r>
        <w:t xml:space="preserve"> </w:t>
      </w:r>
      <w:r w:rsidRPr="003B3FAC">
        <w:t>benefit plan contract, the event and services resulting directly from a never event may</w:t>
      </w:r>
      <w:r>
        <w:t xml:space="preserve"> not be a covered benefit and/or may</w:t>
      </w:r>
      <w:r w:rsidRPr="003B3FAC">
        <w:t xml:space="preserve"> be non-reimbursable.  Examples of such events include:</w:t>
      </w:r>
    </w:p>
    <w:p w14:paraId="47B5611B" w14:textId="77777777" w:rsidR="00683874" w:rsidRPr="003B3FAC" w:rsidRDefault="00683874" w:rsidP="00683874">
      <w:pPr>
        <w:numPr>
          <w:ilvl w:val="0"/>
          <w:numId w:val="17"/>
        </w:numPr>
      </w:pPr>
      <w:r w:rsidRPr="003B3FAC">
        <w:t>Surgery on wrong body part</w:t>
      </w:r>
    </w:p>
    <w:p w14:paraId="145B29FE" w14:textId="77777777" w:rsidR="00683874" w:rsidRPr="003B3FAC" w:rsidRDefault="00683874" w:rsidP="00683874">
      <w:pPr>
        <w:numPr>
          <w:ilvl w:val="0"/>
          <w:numId w:val="17"/>
        </w:numPr>
      </w:pPr>
      <w:r w:rsidRPr="003B3FAC">
        <w:t>Surgery on wrong patient</w:t>
      </w:r>
    </w:p>
    <w:p w14:paraId="0866BF4E" w14:textId="77777777" w:rsidR="00683874" w:rsidRPr="003B3FAC" w:rsidRDefault="00683874" w:rsidP="00683874">
      <w:pPr>
        <w:numPr>
          <w:ilvl w:val="0"/>
          <w:numId w:val="17"/>
        </w:numPr>
      </w:pPr>
      <w:r w:rsidRPr="003B3FAC">
        <w:t>Wrong surgery on patient</w:t>
      </w:r>
    </w:p>
    <w:p w14:paraId="68C5D87E" w14:textId="77777777" w:rsidR="00683874" w:rsidRPr="003B3FAC" w:rsidRDefault="00683874" w:rsidP="00683874">
      <w:pPr>
        <w:numPr>
          <w:ilvl w:val="0"/>
          <w:numId w:val="17"/>
        </w:numPr>
      </w:pPr>
      <w:r w:rsidRPr="003B3FAC">
        <w:t>Retained foreign body after surgery</w:t>
      </w:r>
    </w:p>
    <w:p w14:paraId="090F4CB8" w14:textId="77777777" w:rsidR="00683874" w:rsidRPr="003B3FAC" w:rsidRDefault="00683874" w:rsidP="00683874">
      <w:pPr>
        <w:numPr>
          <w:ilvl w:val="0"/>
          <w:numId w:val="17"/>
        </w:numPr>
      </w:pPr>
      <w:r w:rsidRPr="003B3FAC">
        <w:t>Death/disability associated with intravascular air embolism</w:t>
      </w:r>
    </w:p>
    <w:p w14:paraId="2AFED462" w14:textId="77777777" w:rsidR="00683874" w:rsidRPr="003B3FAC" w:rsidRDefault="00683874" w:rsidP="00683874">
      <w:pPr>
        <w:numPr>
          <w:ilvl w:val="0"/>
          <w:numId w:val="17"/>
        </w:numPr>
      </w:pPr>
      <w:r w:rsidRPr="003B3FAC">
        <w:t>Death/disability associated with incompatible blood</w:t>
      </w:r>
    </w:p>
    <w:p w14:paraId="0D268D85" w14:textId="77777777" w:rsidR="00683874" w:rsidRPr="003B3FAC" w:rsidRDefault="00683874" w:rsidP="00683874">
      <w:pPr>
        <w:numPr>
          <w:ilvl w:val="0"/>
          <w:numId w:val="17"/>
        </w:numPr>
      </w:pPr>
      <w:r w:rsidRPr="003B3FAC">
        <w:t>Death/disability associated with hypoglycemia</w:t>
      </w:r>
    </w:p>
    <w:p w14:paraId="1B0FD999" w14:textId="77777777" w:rsidR="00683874" w:rsidRPr="003B3FAC" w:rsidRDefault="00683874" w:rsidP="00683874">
      <w:pPr>
        <w:numPr>
          <w:ilvl w:val="0"/>
          <w:numId w:val="17"/>
        </w:numPr>
      </w:pPr>
      <w:r w:rsidRPr="003B3FAC">
        <w:t>Stage 3 or 4 pressure ulcers after admission</w:t>
      </w:r>
    </w:p>
    <w:p w14:paraId="4A1B717D" w14:textId="77777777" w:rsidR="00683874" w:rsidRPr="003B3FAC" w:rsidRDefault="00683874" w:rsidP="00683874">
      <w:pPr>
        <w:numPr>
          <w:ilvl w:val="0"/>
          <w:numId w:val="17"/>
        </w:numPr>
      </w:pPr>
      <w:r w:rsidRPr="003B3FAC">
        <w:t>Death/disability associated with electric shock</w:t>
      </w:r>
    </w:p>
    <w:p w14:paraId="19DD9703" w14:textId="77777777" w:rsidR="00683874" w:rsidRPr="003B3FAC" w:rsidRDefault="00683874" w:rsidP="00683874">
      <w:pPr>
        <w:numPr>
          <w:ilvl w:val="0"/>
          <w:numId w:val="17"/>
        </w:numPr>
      </w:pPr>
      <w:r w:rsidRPr="003B3FAC">
        <w:t>Death/disability associated with a burn incurred within facility</w:t>
      </w:r>
    </w:p>
    <w:p w14:paraId="64F71652" w14:textId="77777777" w:rsidR="00683874" w:rsidRPr="003B3FAC" w:rsidRDefault="00683874" w:rsidP="00683874">
      <w:pPr>
        <w:numPr>
          <w:ilvl w:val="0"/>
          <w:numId w:val="17"/>
        </w:numPr>
      </w:pPr>
      <w:r w:rsidRPr="003B3FAC">
        <w:t>Death/disability associated with a fall within facility</w:t>
      </w:r>
      <w:r w:rsidRPr="003B3FAC">
        <w:br/>
      </w:r>
    </w:p>
    <w:p w14:paraId="76202585" w14:textId="77777777" w:rsidR="00683874" w:rsidRPr="00683874" w:rsidRDefault="00683874" w:rsidP="00683874">
      <w:pPr>
        <w:pStyle w:val="Heading2"/>
        <w:rPr>
          <w:u w:val="none"/>
        </w:rPr>
      </w:pPr>
      <w:r w:rsidRPr="00683874">
        <w:rPr>
          <w:u w:val="none"/>
        </w:rPr>
        <w:t>Background</w:t>
      </w:r>
    </w:p>
    <w:p w14:paraId="4A4C686F" w14:textId="05104F46" w:rsidR="00683874" w:rsidRPr="007B6172" w:rsidRDefault="00683874" w:rsidP="00683874">
      <w:pPr>
        <w:pStyle w:val="BodyText"/>
        <w:rPr>
          <w:rFonts w:ascii="Times New Roman" w:hAnsi="Times New Roman"/>
        </w:rPr>
      </w:pPr>
      <w:r>
        <w:rPr>
          <w:rFonts w:ascii="Times New Roman" w:hAnsi="Times New Roman"/>
          <w:bCs/>
        </w:rPr>
        <w:t>Centene c</w:t>
      </w:r>
      <w:r w:rsidRPr="007B6172">
        <w:rPr>
          <w:rFonts w:ascii="Times New Roman" w:hAnsi="Times New Roman"/>
        </w:rPr>
        <w:t xml:space="preserve">linical policies are intended to be reflective of current scientific research and clinical </w:t>
      </w:r>
      <w:r w:rsidR="008D79A4">
        <w:rPr>
          <w:rFonts w:ascii="Times New Roman" w:hAnsi="Times New Roman"/>
        </w:rPr>
        <w:t>practice and judgment</w:t>
      </w:r>
      <w:r w:rsidRPr="007B6172">
        <w:rPr>
          <w:rFonts w:ascii="Times New Roman" w:hAnsi="Times New Roman"/>
        </w:rPr>
        <w:t>.</w:t>
      </w:r>
      <w:r>
        <w:rPr>
          <w:rFonts w:ascii="Times New Roman" w:hAnsi="Times New Roman"/>
        </w:rPr>
        <w:t xml:space="preserve">  They are developed with oversight of board-certified physicians and practitioners, reviewed on an annual basis for appropriateness and approved by the Centene Clinical Policy Committee.  The </w:t>
      </w:r>
      <w:r w:rsidRPr="007B6172">
        <w:rPr>
          <w:rFonts w:ascii="Times New Roman" w:hAnsi="Times New Roman"/>
        </w:rPr>
        <w:t xml:space="preserve">Clinical Policy Committee </w:t>
      </w:r>
      <w:r>
        <w:rPr>
          <w:rFonts w:ascii="Times New Roman" w:hAnsi="Times New Roman"/>
        </w:rPr>
        <w:t>is</w:t>
      </w:r>
      <w:r w:rsidRPr="007B6172">
        <w:rPr>
          <w:rFonts w:ascii="Times New Roman" w:hAnsi="Times New Roman"/>
        </w:rPr>
        <w:t xml:space="preserve"> composed of physicians and other medical and operational representatives</w:t>
      </w:r>
      <w:r w:rsidR="00A77EEB">
        <w:rPr>
          <w:rFonts w:ascii="Times New Roman" w:hAnsi="Times New Roman"/>
        </w:rPr>
        <w:t>,</w:t>
      </w:r>
      <w:r w:rsidRPr="007B6172">
        <w:rPr>
          <w:rFonts w:ascii="Times New Roman" w:hAnsi="Times New Roman"/>
        </w:rPr>
        <w:t xml:space="preserve"> as appropriate</w:t>
      </w:r>
      <w:r w:rsidR="00A77EEB">
        <w:rPr>
          <w:rFonts w:ascii="Times New Roman" w:hAnsi="Times New Roman"/>
        </w:rPr>
        <w:t>,</w:t>
      </w:r>
      <w:r w:rsidRPr="007B6172">
        <w:rPr>
          <w:rFonts w:ascii="Times New Roman" w:hAnsi="Times New Roman"/>
        </w:rPr>
        <w:t xml:space="preserve"> from </w:t>
      </w:r>
      <w:r>
        <w:rPr>
          <w:rFonts w:ascii="Times New Roman" w:hAnsi="Times New Roman"/>
        </w:rPr>
        <w:t xml:space="preserve">Centene </w:t>
      </w:r>
      <w:r w:rsidRPr="007B6172">
        <w:rPr>
          <w:rFonts w:ascii="Times New Roman" w:hAnsi="Times New Roman"/>
        </w:rPr>
        <w:t xml:space="preserve">Corporate and each Plan to assist in the </w:t>
      </w:r>
      <w:r>
        <w:rPr>
          <w:rFonts w:ascii="Times New Roman" w:hAnsi="Times New Roman"/>
        </w:rPr>
        <w:t xml:space="preserve">identification of need, </w:t>
      </w:r>
      <w:r w:rsidRPr="007B6172">
        <w:rPr>
          <w:rFonts w:ascii="Times New Roman" w:hAnsi="Times New Roman"/>
        </w:rPr>
        <w:t xml:space="preserve">development, revision, and/or review of clinical policy.  </w:t>
      </w:r>
      <w:r>
        <w:rPr>
          <w:rFonts w:ascii="Times New Roman" w:hAnsi="Times New Roman"/>
        </w:rPr>
        <w:t>C</w:t>
      </w:r>
      <w:r>
        <w:rPr>
          <w:rFonts w:ascii="Times New Roman" w:hAnsi="Times New Roman"/>
          <w:bCs/>
        </w:rPr>
        <w:t xml:space="preserve">linical policies </w:t>
      </w:r>
      <w:r w:rsidRPr="007B6172">
        <w:rPr>
          <w:rFonts w:ascii="Times New Roman" w:hAnsi="Times New Roman"/>
        </w:rPr>
        <w:t>include medical,</w:t>
      </w:r>
      <w:r>
        <w:rPr>
          <w:rFonts w:ascii="Times New Roman" w:hAnsi="Times New Roman"/>
        </w:rPr>
        <w:t xml:space="preserve"> behavioral health,</w:t>
      </w:r>
      <w:r w:rsidRPr="007B6172">
        <w:rPr>
          <w:rFonts w:ascii="Times New Roman" w:hAnsi="Times New Roman"/>
        </w:rPr>
        <w:t xml:space="preserve"> medical pharmacy benefits</w:t>
      </w:r>
      <w:r>
        <w:rPr>
          <w:rFonts w:ascii="Times New Roman" w:hAnsi="Times New Roman"/>
        </w:rPr>
        <w:t>, durable medical equipment</w:t>
      </w:r>
      <w:r w:rsidRPr="007B6172">
        <w:rPr>
          <w:rFonts w:ascii="Times New Roman" w:hAnsi="Times New Roman"/>
        </w:rPr>
        <w:t xml:space="preserve"> and </w:t>
      </w:r>
      <w:r>
        <w:rPr>
          <w:rFonts w:ascii="Times New Roman" w:hAnsi="Times New Roman"/>
        </w:rPr>
        <w:t>devices</w:t>
      </w:r>
      <w:r w:rsidRPr="007B6172">
        <w:rPr>
          <w:rFonts w:ascii="Times New Roman" w:hAnsi="Times New Roman"/>
        </w:rPr>
        <w:t>.  These policies include</w:t>
      </w:r>
      <w:r>
        <w:rPr>
          <w:rFonts w:ascii="Times New Roman" w:hAnsi="Times New Roman"/>
        </w:rPr>
        <w:t xml:space="preserve"> but are not limited to</w:t>
      </w:r>
      <w:r w:rsidRPr="007B6172">
        <w:rPr>
          <w:rFonts w:ascii="Times New Roman" w:hAnsi="Times New Roman"/>
        </w:rPr>
        <w:t>:</w:t>
      </w:r>
    </w:p>
    <w:p w14:paraId="704F53BF" w14:textId="77777777" w:rsidR="00683874" w:rsidRPr="007B6172" w:rsidRDefault="00683874" w:rsidP="00683874">
      <w:pPr>
        <w:pStyle w:val="BodyTextIndent"/>
        <w:numPr>
          <w:ilvl w:val="0"/>
          <w:numId w:val="14"/>
        </w:numPr>
        <w:tabs>
          <w:tab w:val="clear" w:pos="-734"/>
          <w:tab w:val="num" w:pos="-201"/>
        </w:tabs>
        <w:ind w:left="706"/>
        <w:rPr>
          <w:rFonts w:ascii="Times New Roman" w:hAnsi="Times New Roman"/>
        </w:rPr>
      </w:pPr>
      <w:r w:rsidRPr="007B6172">
        <w:rPr>
          <w:rFonts w:ascii="Times New Roman" w:hAnsi="Times New Roman"/>
        </w:rPr>
        <w:t>New and emerging technologies</w:t>
      </w:r>
    </w:p>
    <w:p w14:paraId="2E4CB608" w14:textId="77777777" w:rsidR="00683874" w:rsidRPr="00CC44C5" w:rsidRDefault="00683874" w:rsidP="00683874">
      <w:pPr>
        <w:pStyle w:val="BodyTextIndent"/>
        <w:numPr>
          <w:ilvl w:val="0"/>
          <w:numId w:val="15"/>
        </w:numPr>
        <w:tabs>
          <w:tab w:val="clear" w:pos="-734"/>
          <w:tab w:val="num" w:pos="-201"/>
        </w:tabs>
        <w:ind w:left="706"/>
        <w:rPr>
          <w:rFonts w:ascii="Times New Roman" w:hAnsi="Times New Roman"/>
          <w:bCs/>
        </w:rPr>
      </w:pPr>
      <w:r w:rsidRPr="007B6172">
        <w:rPr>
          <w:rFonts w:ascii="Times New Roman" w:hAnsi="Times New Roman"/>
        </w:rPr>
        <w:t>New uses for existing technologies</w:t>
      </w:r>
    </w:p>
    <w:p w14:paraId="4FF01D42" w14:textId="77777777" w:rsidR="00683874" w:rsidRPr="007B6172" w:rsidRDefault="00683874" w:rsidP="00683874">
      <w:pPr>
        <w:pStyle w:val="BodyTextIndent"/>
        <w:numPr>
          <w:ilvl w:val="0"/>
          <w:numId w:val="16"/>
        </w:numPr>
        <w:tabs>
          <w:tab w:val="clear" w:pos="-734"/>
          <w:tab w:val="num" w:pos="-201"/>
        </w:tabs>
        <w:ind w:left="706"/>
        <w:rPr>
          <w:rFonts w:ascii="Times New Roman" w:hAnsi="Times New Roman"/>
          <w:bCs/>
        </w:rPr>
      </w:pPr>
      <w:r w:rsidRPr="007B6172">
        <w:rPr>
          <w:rFonts w:ascii="Times New Roman" w:hAnsi="Times New Roman"/>
        </w:rPr>
        <w:t xml:space="preserve">Clinical guidelines for the evaluation and treatment of specific conditions </w:t>
      </w:r>
    </w:p>
    <w:p w14:paraId="499F4A56" w14:textId="77777777" w:rsidR="00683874" w:rsidRPr="007B6172" w:rsidRDefault="00683874" w:rsidP="00683874">
      <w:pPr>
        <w:pStyle w:val="BodyTextIndent"/>
        <w:numPr>
          <w:ilvl w:val="0"/>
          <w:numId w:val="16"/>
        </w:numPr>
        <w:tabs>
          <w:tab w:val="clear" w:pos="-734"/>
          <w:tab w:val="num" w:pos="-201"/>
        </w:tabs>
        <w:ind w:left="706"/>
        <w:rPr>
          <w:rFonts w:ascii="Times New Roman" w:hAnsi="Times New Roman"/>
          <w:bCs/>
        </w:rPr>
      </w:pPr>
      <w:r w:rsidRPr="007B6172">
        <w:rPr>
          <w:rFonts w:ascii="Times New Roman" w:hAnsi="Times New Roman"/>
        </w:rPr>
        <w:t>Criteria used in the authorization of drugs included on a Plan prior authorization list</w:t>
      </w:r>
    </w:p>
    <w:p w14:paraId="7EF3AB84" w14:textId="77777777" w:rsidR="00683874" w:rsidRPr="007B6172" w:rsidRDefault="00683874" w:rsidP="00683874">
      <w:pPr>
        <w:pStyle w:val="BodyTextIndent"/>
        <w:numPr>
          <w:ilvl w:val="0"/>
          <w:numId w:val="16"/>
        </w:numPr>
        <w:tabs>
          <w:tab w:val="clear" w:pos="-734"/>
          <w:tab w:val="num" w:pos="-201"/>
        </w:tabs>
        <w:ind w:left="706"/>
        <w:rPr>
          <w:rFonts w:ascii="Times New Roman" w:hAnsi="Times New Roman"/>
          <w:bCs/>
        </w:rPr>
      </w:pPr>
      <w:r w:rsidRPr="007B6172">
        <w:rPr>
          <w:rFonts w:ascii="Times New Roman" w:hAnsi="Times New Roman"/>
        </w:rPr>
        <w:t>Clinical/medical criteria or information used in pre</w:t>
      </w:r>
      <w:r>
        <w:rPr>
          <w:rFonts w:ascii="Times New Roman" w:hAnsi="Times New Roman"/>
        </w:rPr>
        <w:t>-</w:t>
      </w:r>
      <w:r w:rsidRPr="007B6172">
        <w:rPr>
          <w:rFonts w:ascii="Times New Roman" w:hAnsi="Times New Roman"/>
        </w:rPr>
        <w:t xml:space="preserve"> or post</w:t>
      </w:r>
      <w:r>
        <w:rPr>
          <w:rFonts w:ascii="Times New Roman" w:hAnsi="Times New Roman"/>
        </w:rPr>
        <w:t>-</w:t>
      </w:r>
      <w:r w:rsidRPr="007B6172">
        <w:rPr>
          <w:rFonts w:ascii="Times New Roman" w:hAnsi="Times New Roman"/>
        </w:rPr>
        <w:t>service review</w:t>
      </w:r>
    </w:p>
    <w:p w14:paraId="6507E4D5" w14:textId="77777777" w:rsidR="00683874" w:rsidRDefault="00683874" w:rsidP="00683874">
      <w:pPr>
        <w:pStyle w:val="NormalWeb"/>
        <w:widowControl w:val="0"/>
        <w:spacing w:before="0" w:beforeAutospacing="0" w:after="0" w:afterAutospacing="0"/>
        <w:rPr>
          <w:rFonts w:ascii="Times New Roman" w:hAnsi="Times New Roman" w:cs="Times New Roman"/>
          <w:bCs/>
        </w:rPr>
      </w:pPr>
    </w:p>
    <w:p w14:paraId="7AE29F35" w14:textId="77777777" w:rsidR="00683874" w:rsidRDefault="00683874" w:rsidP="00683874">
      <w:pPr>
        <w:pStyle w:val="NormalWeb"/>
        <w:widowControl w:val="0"/>
        <w:spacing w:before="0" w:beforeAutospacing="0" w:after="0" w:afterAutospacing="0"/>
        <w:rPr>
          <w:rFonts w:ascii="Times New Roman" w:hAnsi="Times New Roman" w:cs="Times New Roman"/>
          <w:bCs/>
        </w:rPr>
      </w:pPr>
      <w:proofErr w:type="spellStart"/>
      <w:r w:rsidRPr="008226BD">
        <w:rPr>
          <w:rFonts w:ascii="Times New Roman" w:hAnsi="Times New Roman" w:cs="Times New Roman"/>
          <w:bCs/>
        </w:rPr>
        <w:t>InterQual</w:t>
      </w:r>
      <w:proofErr w:type="spellEnd"/>
      <w:r w:rsidRPr="008226BD">
        <w:rPr>
          <w:rFonts w:ascii="Times New Roman" w:hAnsi="Times New Roman" w:cs="Times New Roman"/>
          <w:bCs/>
        </w:rPr>
        <w:t xml:space="preserve"> criteria are proprietary and cannot be </w:t>
      </w:r>
      <w:r>
        <w:rPr>
          <w:rFonts w:ascii="Times New Roman" w:hAnsi="Times New Roman" w:cs="Times New Roman"/>
          <w:bCs/>
        </w:rPr>
        <w:t xml:space="preserve">publicly </w:t>
      </w:r>
      <w:r w:rsidRPr="008226BD">
        <w:rPr>
          <w:rFonts w:ascii="Times New Roman" w:hAnsi="Times New Roman" w:cs="Times New Roman"/>
          <w:bCs/>
        </w:rPr>
        <w:t>published and/or distributed</w:t>
      </w:r>
      <w:r>
        <w:rPr>
          <w:rFonts w:ascii="Times New Roman" w:hAnsi="Times New Roman" w:cs="Times New Roman"/>
          <w:bCs/>
        </w:rPr>
        <w:t>.</w:t>
      </w:r>
      <w:r w:rsidRPr="008226BD">
        <w:rPr>
          <w:rFonts w:ascii="Times New Roman" w:hAnsi="Times New Roman" w:cs="Times New Roman"/>
          <w:bCs/>
        </w:rPr>
        <w:t xml:space="preserve"> </w:t>
      </w:r>
      <w:r>
        <w:rPr>
          <w:rFonts w:ascii="Times New Roman" w:hAnsi="Times New Roman" w:cs="Times New Roman"/>
          <w:bCs/>
        </w:rPr>
        <w:t xml:space="preserve"> O</w:t>
      </w:r>
      <w:r w:rsidRPr="008226BD">
        <w:rPr>
          <w:rFonts w:ascii="Times New Roman" w:hAnsi="Times New Roman" w:cs="Times New Roman"/>
          <w:bCs/>
        </w:rPr>
        <w:t xml:space="preserve">n an individual member basis, </w:t>
      </w:r>
      <w:r w:rsidRPr="00176944">
        <w:rPr>
          <w:rFonts w:ascii="Times New Roman" w:hAnsi="Times New Roman" w:cs="Times New Roman"/>
          <w:bCs/>
        </w:rPr>
        <w:t>the specific criteria document used to make a medical necessity determination can be made available upon request.</w:t>
      </w:r>
      <w:r>
        <w:rPr>
          <w:rFonts w:ascii="Times New Roman" w:hAnsi="Times New Roman" w:cs="Times New Roman"/>
          <w:bCs/>
        </w:rPr>
        <w:t xml:space="preserve">  Registered providers can obtain the appropriate </w:t>
      </w:r>
      <w:proofErr w:type="spellStart"/>
      <w:r>
        <w:rPr>
          <w:rFonts w:ascii="Times New Roman" w:hAnsi="Times New Roman" w:cs="Times New Roman"/>
          <w:bCs/>
        </w:rPr>
        <w:t>InterQual</w:t>
      </w:r>
      <w:proofErr w:type="spellEnd"/>
      <w:r>
        <w:rPr>
          <w:rFonts w:ascii="Times New Roman" w:hAnsi="Times New Roman" w:cs="Times New Roman"/>
          <w:bCs/>
        </w:rPr>
        <w:t xml:space="preserve"> </w:t>
      </w:r>
      <w:proofErr w:type="spellStart"/>
      <w:r>
        <w:rPr>
          <w:rFonts w:ascii="Times New Roman" w:hAnsi="Times New Roman" w:cs="Times New Roman"/>
          <w:bCs/>
        </w:rPr>
        <w:t>SmartSheet</w:t>
      </w:r>
      <w:proofErr w:type="spellEnd"/>
      <w:r>
        <w:rPr>
          <w:rFonts w:ascii="Times New Roman" w:hAnsi="Times New Roman" w:cs="Times New Roman"/>
          <w:bCs/>
        </w:rPr>
        <w:t xml:space="preserve">™ by logging in to the secure provider portal. The </w:t>
      </w:r>
      <w:proofErr w:type="spellStart"/>
      <w:r>
        <w:rPr>
          <w:rFonts w:ascii="Times New Roman" w:hAnsi="Times New Roman" w:cs="Times New Roman"/>
          <w:bCs/>
        </w:rPr>
        <w:t>InterQual</w:t>
      </w:r>
      <w:proofErr w:type="spellEnd"/>
      <w:r>
        <w:rPr>
          <w:rFonts w:ascii="Times New Roman" w:hAnsi="Times New Roman" w:cs="Times New Roman"/>
          <w:bCs/>
        </w:rPr>
        <w:t xml:space="preserve"> </w:t>
      </w:r>
      <w:proofErr w:type="spellStart"/>
      <w:r>
        <w:rPr>
          <w:rFonts w:ascii="Times New Roman" w:hAnsi="Times New Roman" w:cs="Times New Roman"/>
          <w:bCs/>
        </w:rPr>
        <w:t>SmartSheet</w:t>
      </w:r>
      <w:proofErr w:type="spellEnd"/>
      <w:r>
        <w:rPr>
          <w:rFonts w:ascii="Times New Roman" w:hAnsi="Times New Roman" w:cs="Times New Roman"/>
          <w:bCs/>
        </w:rPr>
        <w:t xml:space="preserve"> can be submitted with your authorization request to help expedite the process.</w:t>
      </w:r>
    </w:p>
    <w:p w14:paraId="6302C0AB" w14:textId="77777777" w:rsidR="00683874" w:rsidRPr="00075B2F" w:rsidRDefault="00683874" w:rsidP="00683874">
      <w:pPr>
        <w:pStyle w:val="NormalWeb"/>
        <w:widowControl w:val="0"/>
        <w:spacing w:before="0" w:beforeAutospacing="0" w:after="0" w:afterAutospacing="0"/>
        <w:rPr>
          <w:rFonts w:ascii="Times New Roman" w:hAnsi="Times New Roman" w:cs="Times New Roman"/>
          <w:bCs/>
        </w:rPr>
      </w:pPr>
    </w:p>
    <w:p w14:paraId="7BA6493E" w14:textId="77777777" w:rsidR="00683874" w:rsidRDefault="008F53A7" w:rsidP="00683874">
      <w:pPr>
        <w:rPr>
          <w:b/>
          <w:bCs/>
        </w:rPr>
      </w:pPr>
      <w:r>
        <w:t>Change Healthcare</w:t>
      </w:r>
      <w:r w:rsidR="00683874" w:rsidRPr="00075B2F">
        <w:t xml:space="preserve"> is the owner/licensor of the </w:t>
      </w:r>
      <w:proofErr w:type="spellStart"/>
      <w:r w:rsidR="00683874" w:rsidRPr="00075B2F">
        <w:t>InterQual</w:t>
      </w:r>
      <w:proofErr w:type="spellEnd"/>
      <w:r w:rsidR="00683874" w:rsidRPr="00075B2F">
        <w:t xml:space="preserve"> Clinical Decision Support Criteria and related software. </w:t>
      </w:r>
      <w:r>
        <w:t>Change Healthcare</w:t>
      </w:r>
      <w:r w:rsidR="00683874" w:rsidRPr="00075B2F">
        <w:t xml:space="preserve"> has prepared this Work for exclusive use of its licensees of software applications embodying the Clinical Content. This Work contains confidential and trade secret information of </w:t>
      </w:r>
      <w:r>
        <w:t>Change Healthcare</w:t>
      </w:r>
      <w:r w:rsidR="00683874" w:rsidRPr="00075B2F">
        <w:t xml:space="preserve"> and is provided to licensees who have an existing license agreement in force only under the time-limited license as provided under that license agreement.</w:t>
      </w:r>
    </w:p>
    <w:p w14:paraId="3554C9A8" w14:textId="77777777" w:rsidR="00683874" w:rsidRDefault="00683874" w:rsidP="00FB0592">
      <w:pPr>
        <w:rPr>
          <w:b/>
          <w:bCs/>
        </w:rPr>
      </w:pPr>
    </w:p>
    <w:p w14:paraId="10C90EDF" w14:textId="77777777" w:rsidR="00683874" w:rsidRPr="00075B2F" w:rsidRDefault="00683874" w:rsidP="00683874">
      <w:pPr>
        <w:pStyle w:val="Heading2"/>
        <w:rPr>
          <w:b w:val="0"/>
          <w:u w:val="none"/>
        </w:rPr>
      </w:pPr>
      <w:r w:rsidRPr="00075B2F">
        <w:rPr>
          <w:b w:val="0"/>
          <w:bCs w:val="0"/>
          <w:u w:val="none"/>
        </w:rPr>
        <w:t>Licensee and any recipient thereunder shall use the Clinical Content in accordance with the terms and conditions of the license agreement.</w:t>
      </w:r>
    </w:p>
    <w:p w14:paraId="0C4C3684" w14:textId="77777777" w:rsidR="00683874" w:rsidRDefault="00683874" w:rsidP="00683874"/>
    <w:p w14:paraId="62D40D97" w14:textId="77777777" w:rsidR="00683874" w:rsidRPr="00B00986" w:rsidRDefault="00683874" w:rsidP="00683874">
      <w:r>
        <w:t>The MCG guideline(s) and products are not intended to be used without the judgment of a qualified health care provider with the ability to take into account the individual circumstances of each patient’s case.</w:t>
      </w:r>
    </w:p>
    <w:p w14:paraId="7C1A3710" w14:textId="77777777" w:rsidR="00683874" w:rsidRPr="002A69E0" w:rsidRDefault="00683874" w:rsidP="00683874">
      <w:pPr>
        <w:rPr>
          <w:color w:val="FF0000"/>
        </w:rPr>
      </w:pPr>
    </w:p>
    <w:tbl>
      <w:tblPr>
        <w:tblStyle w:val="LightList-Accent1"/>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370"/>
        <w:gridCol w:w="900"/>
        <w:gridCol w:w="1260"/>
      </w:tblGrid>
      <w:tr w:rsidR="00B777AF" w:rsidRPr="00B777AF" w14:paraId="14516684" w14:textId="77777777" w:rsidTr="00AE4A5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370" w:type="dxa"/>
            <w:tcBorders>
              <w:left w:val="none" w:sz="0" w:space="0" w:color="auto"/>
              <w:right w:val="none" w:sz="0" w:space="0" w:color="auto"/>
            </w:tcBorders>
            <w:shd w:val="clear" w:color="auto" w:fill="00548C"/>
          </w:tcPr>
          <w:p w14:paraId="14BF5F85"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900" w:type="dxa"/>
            <w:shd w:val="clear" w:color="auto" w:fill="00548C"/>
          </w:tcPr>
          <w:p w14:paraId="0CC02ACA"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43364712"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606E9C93" w14:textId="77777777" w:rsidTr="00AE4A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Borders>
              <w:top w:val="none" w:sz="0" w:space="0" w:color="auto"/>
              <w:left w:val="none" w:sz="0" w:space="0" w:color="auto"/>
              <w:bottom w:val="none" w:sz="0" w:space="0" w:color="auto"/>
              <w:right w:val="none" w:sz="0" w:space="0" w:color="auto"/>
            </w:tcBorders>
          </w:tcPr>
          <w:p w14:paraId="11D69BCA" w14:textId="77777777" w:rsidR="00B777AF" w:rsidRDefault="00DA67B8" w:rsidP="004178E0">
            <w:pPr>
              <w:tabs>
                <w:tab w:val="num" w:pos="720"/>
              </w:tabs>
            </w:pPr>
            <w:r>
              <w:t>Policy developed</w:t>
            </w:r>
          </w:p>
        </w:tc>
        <w:tc>
          <w:tcPr>
            <w:tcW w:w="900" w:type="dxa"/>
            <w:tcBorders>
              <w:top w:val="none" w:sz="0" w:space="0" w:color="auto"/>
              <w:bottom w:val="none" w:sz="0" w:space="0" w:color="auto"/>
            </w:tcBorders>
          </w:tcPr>
          <w:p w14:paraId="712352F2" w14:textId="77777777" w:rsidR="00B777AF" w:rsidRDefault="00DA67B8" w:rsidP="005776FD">
            <w:pPr>
              <w:jc w:val="center"/>
              <w:cnfStyle w:val="000000100000" w:firstRow="0" w:lastRow="0" w:firstColumn="0" w:lastColumn="0" w:oddVBand="0" w:evenVBand="0" w:oddHBand="1" w:evenHBand="0" w:firstRowFirstColumn="0" w:firstRowLastColumn="0" w:lastRowFirstColumn="0" w:lastRowLastColumn="0"/>
            </w:pPr>
            <w:r>
              <w:t>06/13</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73320173" w14:textId="77777777" w:rsidR="00B777AF" w:rsidRDefault="00DA67B8" w:rsidP="00857C10">
            <w:pPr>
              <w:jc w:val="center"/>
            </w:pPr>
            <w:r>
              <w:t>06/13</w:t>
            </w:r>
          </w:p>
        </w:tc>
      </w:tr>
      <w:tr w:rsidR="00DA67B8" w14:paraId="4080E29B" w14:textId="77777777" w:rsidTr="00AE4A55">
        <w:tc>
          <w:tcPr>
            <w:cnfStyle w:val="000010000000" w:firstRow="0" w:lastRow="0" w:firstColumn="0" w:lastColumn="0" w:oddVBand="1" w:evenVBand="0" w:oddHBand="0" w:evenHBand="0" w:firstRowFirstColumn="0" w:firstRowLastColumn="0" w:lastRowFirstColumn="0" w:lastRowLastColumn="0"/>
            <w:tcW w:w="7370" w:type="dxa"/>
          </w:tcPr>
          <w:p w14:paraId="0E79A0BA" w14:textId="77777777" w:rsidR="00DA67B8" w:rsidRDefault="00DA67B8" w:rsidP="004178E0">
            <w:pPr>
              <w:tabs>
                <w:tab w:val="num" w:pos="720"/>
              </w:tabs>
            </w:pPr>
            <w:r>
              <w:t>Added definitions for experimental/investigational, carve-out days, and serious adverse events; information about clinical policy committee</w:t>
            </w:r>
          </w:p>
        </w:tc>
        <w:tc>
          <w:tcPr>
            <w:tcW w:w="900" w:type="dxa"/>
          </w:tcPr>
          <w:p w14:paraId="6B17B391" w14:textId="77777777" w:rsidR="00DA67B8" w:rsidRDefault="00DA67B8" w:rsidP="005776FD">
            <w:pPr>
              <w:jc w:val="center"/>
              <w:cnfStyle w:val="000000000000" w:firstRow="0" w:lastRow="0" w:firstColumn="0" w:lastColumn="0" w:oddVBand="0" w:evenVBand="0" w:oddHBand="0" w:evenHBand="0" w:firstRowFirstColumn="0" w:firstRowLastColumn="0" w:lastRowFirstColumn="0" w:lastRowLastColumn="0"/>
            </w:pPr>
            <w:r>
              <w:t>08/13</w:t>
            </w:r>
          </w:p>
        </w:tc>
        <w:tc>
          <w:tcPr>
            <w:cnfStyle w:val="000010000000" w:firstRow="0" w:lastRow="0" w:firstColumn="0" w:lastColumn="0" w:oddVBand="1" w:evenVBand="0" w:oddHBand="0" w:evenHBand="0" w:firstRowFirstColumn="0" w:firstRowLastColumn="0" w:lastRowFirstColumn="0" w:lastRowLastColumn="0"/>
            <w:tcW w:w="1260" w:type="dxa"/>
          </w:tcPr>
          <w:p w14:paraId="0750C421" w14:textId="77777777" w:rsidR="00DA67B8" w:rsidRDefault="00DA67B8" w:rsidP="00857C10">
            <w:pPr>
              <w:jc w:val="center"/>
            </w:pPr>
            <w:r>
              <w:t>10/13</w:t>
            </w:r>
          </w:p>
        </w:tc>
      </w:tr>
      <w:tr w:rsidR="00DA67B8" w14:paraId="5C0B5CDE" w14:textId="77777777" w:rsidTr="00AE4A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2B822C20" w14:textId="77777777" w:rsidR="00DA67B8" w:rsidRDefault="00DA67B8" w:rsidP="004178E0">
            <w:pPr>
              <w:tabs>
                <w:tab w:val="num" w:pos="720"/>
              </w:tabs>
            </w:pPr>
            <w:r>
              <w:t>Move LCD from #2 to #1 in Policy section</w:t>
            </w:r>
          </w:p>
        </w:tc>
        <w:tc>
          <w:tcPr>
            <w:tcW w:w="900" w:type="dxa"/>
          </w:tcPr>
          <w:p w14:paraId="3BE39CF8" w14:textId="77777777" w:rsidR="00DA67B8" w:rsidRDefault="00DA67B8" w:rsidP="005776FD">
            <w:pPr>
              <w:jc w:val="center"/>
              <w:cnfStyle w:val="000000100000" w:firstRow="0" w:lastRow="0" w:firstColumn="0" w:lastColumn="0" w:oddVBand="0" w:evenVBand="0" w:oddHBand="1" w:evenHBand="0" w:firstRowFirstColumn="0" w:firstRowLastColumn="0" w:lastRowFirstColumn="0" w:lastRowLastColumn="0"/>
            </w:pPr>
            <w:r>
              <w:t>07/14</w:t>
            </w:r>
          </w:p>
        </w:tc>
        <w:tc>
          <w:tcPr>
            <w:cnfStyle w:val="000010000000" w:firstRow="0" w:lastRow="0" w:firstColumn="0" w:lastColumn="0" w:oddVBand="1" w:evenVBand="0" w:oddHBand="0" w:evenHBand="0" w:firstRowFirstColumn="0" w:firstRowLastColumn="0" w:lastRowFirstColumn="0" w:lastRowLastColumn="0"/>
            <w:tcW w:w="1260" w:type="dxa"/>
          </w:tcPr>
          <w:p w14:paraId="2609ABAA" w14:textId="77777777" w:rsidR="00DA67B8" w:rsidRDefault="00DA67B8" w:rsidP="00857C10">
            <w:pPr>
              <w:jc w:val="center"/>
            </w:pPr>
            <w:r>
              <w:t>10/14</w:t>
            </w:r>
          </w:p>
        </w:tc>
      </w:tr>
      <w:tr w:rsidR="00DA67B8" w14:paraId="35439DDB" w14:textId="77777777" w:rsidTr="00AE4A55">
        <w:tc>
          <w:tcPr>
            <w:cnfStyle w:val="000010000000" w:firstRow="0" w:lastRow="0" w:firstColumn="0" w:lastColumn="0" w:oddVBand="1" w:evenVBand="0" w:oddHBand="0" w:evenHBand="0" w:firstRowFirstColumn="0" w:firstRowLastColumn="0" w:lastRowFirstColumn="0" w:lastRowLastColumn="0"/>
            <w:tcW w:w="7370" w:type="dxa"/>
          </w:tcPr>
          <w:p w14:paraId="3AF68EC2" w14:textId="77777777" w:rsidR="00DA67B8" w:rsidRDefault="00DA67B8" w:rsidP="004178E0">
            <w:pPr>
              <w:tabs>
                <w:tab w:val="num" w:pos="720"/>
              </w:tabs>
            </w:pPr>
            <w:r>
              <w:t xml:space="preserve">Added Plan </w:t>
            </w:r>
            <w:r w:rsidR="00CD7A78">
              <w:t>specific policy under Policy/Criteria</w:t>
            </w:r>
          </w:p>
          <w:p w14:paraId="1FCF87B6" w14:textId="77777777" w:rsidR="00CD7A78" w:rsidRDefault="00CD7A78" w:rsidP="004178E0">
            <w:pPr>
              <w:tabs>
                <w:tab w:val="num" w:pos="720"/>
              </w:tabs>
            </w:pPr>
            <w:r>
              <w:t>Converted into new template</w:t>
            </w:r>
          </w:p>
        </w:tc>
        <w:tc>
          <w:tcPr>
            <w:tcW w:w="900" w:type="dxa"/>
          </w:tcPr>
          <w:p w14:paraId="779625C8" w14:textId="77777777" w:rsidR="00DA67B8" w:rsidRDefault="00DA67B8" w:rsidP="005776FD">
            <w:pPr>
              <w:jc w:val="center"/>
              <w:cnfStyle w:val="000000000000" w:firstRow="0" w:lastRow="0" w:firstColumn="0" w:lastColumn="0" w:oddVBand="0" w:evenVBand="0" w:oddHBand="0" w:evenHBand="0" w:firstRowFirstColumn="0" w:firstRowLastColumn="0" w:lastRowFirstColumn="0" w:lastRowLastColumn="0"/>
            </w:pPr>
            <w:r>
              <w:t>10/15</w:t>
            </w:r>
          </w:p>
        </w:tc>
        <w:tc>
          <w:tcPr>
            <w:cnfStyle w:val="000010000000" w:firstRow="0" w:lastRow="0" w:firstColumn="0" w:lastColumn="0" w:oddVBand="1" w:evenVBand="0" w:oddHBand="0" w:evenHBand="0" w:firstRowFirstColumn="0" w:firstRowLastColumn="0" w:lastRowFirstColumn="0" w:lastRowLastColumn="0"/>
            <w:tcW w:w="1260" w:type="dxa"/>
          </w:tcPr>
          <w:p w14:paraId="56347399" w14:textId="77777777" w:rsidR="00DA67B8" w:rsidRDefault="00D543E7" w:rsidP="00857C10">
            <w:pPr>
              <w:jc w:val="center"/>
            </w:pPr>
            <w:r>
              <w:t>10/15</w:t>
            </w:r>
          </w:p>
        </w:tc>
      </w:tr>
      <w:tr w:rsidR="007F5718" w14:paraId="43B936C1" w14:textId="77777777" w:rsidTr="00AE4A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7E0BBC43" w14:textId="77777777" w:rsidR="007F5718" w:rsidRDefault="00E120FB" w:rsidP="004178E0">
            <w:pPr>
              <w:tabs>
                <w:tab w:val="num" w:pos="720"/>
              </w:tabs>
            </w:pPr>
            <w:r>
              <w:t xml:space="preserve">Added Medicare Coverage Articles under criteria A. </w:t>
            </w:r>
            <w:r w:rsidR="00CC0A71">
              <w:t>Redefined experimental/investigational per Health Net definition and added definition of not medically necessary and not investigational</w:t>
            </w:r>
            <w:r w:rsidR="00C859C3">
              <w:t>. Added footnote that the types of practitioners able to make a coverage denial may be mandated by specific states.</w:t>
            </w:r>
          </w:p>
        </w:tc>
        <w:tc>
          <w:tcPr>
            <w:tcW w:w="900" w:type="dxa"/>
          </w:tcPr>
          <w:p w14:paraId="23425126" w14:textId="77777777" w:rsidR="007F5718" w:rsidRDefault="00CC0A71" w:rsidP="005776FD">
            <w:pPr>
              <w:jc w:val="center"/>
              <w:cnfStyle w:val="000000100000" w:firstRow="0" w:lastRow="0" w:firstColumn="0" w:lastColumn="0" w:oddVBand="0" w:evenVBand="0" w:oddHBand="1" w:evenHBand="0" w:firstRowFirstColumn="0" w:firstRowLastColumn="0" w:lastRowFirstColumn="0" w:lastRowLastColumn="0"/>
            </w:pPr>
            <w:r>
              <w:t>09/16</w:t>
            </w:r>
          </w:p>
        </w:tc>
        <w:tc>
          <w:tcPr>
            <w:cnfStyle w:val="000010000000" w:firstRow="0" w:lastRow="0" w:firstColumn="0" w:lastColumn="0" w:oddVBand="1" w:evenVBand="0" w:oddHBand="0" w:evenHBand="0" w:firstRowFirstColumn="0" w:firstRowLastColumn="0" w:lastRowFirstColumn="0" w:lastRowLastColumn="0"/>
            <w:tcW w:w="1260" w:type="dxa"/>
          </w:tcPr>
          <w:p w14:paraId="422FED8E" w14:textId="77777777" w:rsidR="007F5718" w:rsidRDefault="00C859C3" w:rsidP="00857C10">
            <w:pPr>
              <w:jc w:val="center"/>
            </w:pPr>
            <w:r>
              <w:t>09/16</w:t>
            </w:r>
          </w:p>
        </w:tc>
      </w:tr>
      <w:tr w:rsidR="00E747AD" w14:paraId="6865A39A" w14:textId="77777777" w:rsidTr="00AE4A55">
        <w:tc>
          <w:tcPr>
            <w:cnfStyle w:val="000010000000" w:firstRow="0" w:lastRow="0" w:firstColumn="0" w:lastColumn="0" w:oddVBand="1" w:evenVBand="0" w:oddHBand="0" w:evenHBand="0" w:firstRowFirstColumn="0" w:firstRowLastColumn="0" w:lastRowFirstColumn="0" w:lastRowLastColumn="0"/>
            <w:tcW w:w="7370" w:type="dxa"/>
          </w:tcPr>
          <w:p w14:paraId="33765F9C" w14:textId="77777777" w:rsidR="00E747AD" w:rsidRPr="008B0CCB" w:rsidRDefault="008B0CCB" w:rsidP="004178E0">
            <w:pPr>
              <w:tabs>
                <w:tab w:val="num" w:pos="720"/>
              </w:tabs>
            </w:pPr>
            <w:r>
              <w:t xml:space="preserve">Clarified in provider/denial decision table that these are denial decisions </w:t>
            </w:r>
            <w:r>
              <w:rPr>
                <w:i/>
              </w:rPr>
              <w:t xml:space="preserve">allowed </w:t>
            </w:r>
            <w:r>
              <w:t xml:space="preserve">to be made by a given provider, instead of </w:t>
            </w:r>
            <w:r>
              <w:rPr>
                <w:i/>
              </w:rPr>
              <w:t xml:space="preserve">requiring </w:t>
            </w:r>
            <w:r>
              <w:t>a certain provider. Added PT as a denial decision allowed to be made by an MD</w:t>
            </w:r>
            <w:r w:rsidR="00C63D52">
              <w:t>.</w:t>
            </w:r>
          </w:p>
        </w:tc>
        <w:tc>
          <w:tcPr>
            <w:tcW w:w="900" w:type="dxa"/>
          </w:tcPr>
          <w:p w14:paraId="5F3EA0D0" w14:textId="77777777" w:rsidR="00E747AD" w:rsidRDefault="00E747AD" w:rsidP="005776FD">
            <w:pPr>
              <w:jc w:val="center"/>
              <w:cnfStyle w:val="000000000000" w:firstRow="0" w:lastRow="0" w:firstColumn="0" w:lastColumn="0" w:oddVBand="0" w:evenVBand="0" w:oddHBand="0" w:evenHBand="0" w:firstRowFirstColumn="0" w:firstRowLastColumn="0" w:lastRowFirstColumn="0" w:lastRowLastColumn="0"/>
            </w:pPr>
            <w:r>
              <w:t>09/17</w:t>
            </w:r>
          </w:p>
        </w:tc>
        <w:tc>
          <w:tcPr>
            <w:cnfStyle w:val="000010000000" w:firstRow="0" w:lastRow="0" w:firstColumn="0" w:lastColumn="0" w:oddVBand="1" w:evenVBand="0" w:oddHBand="0" w:evenHBand="0" w:firstRowFirstColumn="0" w:firstRowLastColumn="0" w:lastRowFirstColumn="0" w:lastRowLastColumn="0"/>
            <w:tcW w:w="1260" w:type="dxa"/>
          </w:tcPr>
          <w:p w14:paraId="00AC2DCC" w14:textId="77777777" w:rsidR="00E747AD" w:rsidRDefault="00200A0E" w:rsidP="00857C10">
            <w:pPr>
              <w:jc w:val="center"/>
            </w:pPr>
            <w:r>
              <w:t>09/17</w:t>
            </w:r>
          </w:p>
        </w:tc>
      </w:tr>
      <w:tr w:rsidR="00611154" w14:paraId="1006C828" w14:textId="77777777" w:rsidTr="00AE4A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1E424981" w14:textId="77777777" w:rsidR="00611154" w:rsidRDefault="00611154" w:rsidP="00A86555">
            <w:pPr>
              <w:tabs>
                <w:tab w:val="num" w:pos="720"/>
              </w:tabs>
            </w:pPr>
            <w:r>
              <w:t xml:space="preserve">Added that Centene clinical policy includes </w:t>
            </w:r>
            <w:r w:rsidR="00A86555">
              <w:t xml:space="preserve">Centene custom content </w:t>
            </w:r>
            <w:r>
              <w:t xml:space="preserve">criteria in </w:t>
            </w:r>
            <w:proofErr w:type="spellStart"/>
            <w:r>
              <w:t>InterQual</w:t>
            </w:r>
            <w:proofErr w:type="spellEnd"/>
            <w:r w:rsidR="00A86555">
              <w:t>.</w:t>
            </w:r>
          </w:p>
        </w:tc>
        <w:tc>
          <w:tcPr>
            <w:tcW w:w="900" w:type="dxa"/>
          </w:tcPr>
          <w:p w14:paraId="700A90C8" w14:textId="77777777" w:rsidR="00611154" w:rsidRDefault="00611154" w:rsidP="005776FD">
            <w:pPr>
              <w:jc w:val="center"/>
              <w:cnfStyle w:val="000000100000" w:firstRow="0" w:lastRow="0" w:firstColumn="0" w:lastColumn="0" w:oddVBand="0" w:evenVBand="0" w:oddHBand="1" w:evenHBand="0" w:firstRowFirstColumn="0" w:firstRowLastColumn="0" w:lastRowFirstColumn="0" w:lastRowLastColumn="0"/>
            </w:pPr>
            <w:r>
              <w:t>06/18</w:t>
            </w:r>
          </w:p>
        </w:tc>
        <w:tc>
          <w:tcPr>
            <w:cnfStyle w:val="000010000000" w:firstRow="0" w:lastRow="0" w:firstColumn="0" w:lastColumn="0" w:oddVBand="1" w:evenVBand="0" w:oddHBand="0" w:evenHBand="0" w:firstRowFirstColumn="0" w:firstRowLastColumn="0" w:lastRowFirstColumn="0" w:lastRowLastColumn="0"/>
            <w:tcW w:w="1260" w:type="dxa"/>
          </w:tcPr>
          <w:p w14:paraId="60614E54" w14:textId="77777777" w:rsidR="00611154" w:rsidRDefault="007B13E4" w:rsidP="00857C10">
            <w:pPr>
              <w:jc w:val="center"/>
            </w:pPr>
            <w:r>
              <w:t>06/18</w:t>
            </w:r>
          </w:p>
        </w:tc>
      </w:tr>
      <w:tr w:rsidR="00C8237D" w14:paraId="0FA1ECB8" w14:textId="77777777" w:rsidTr="00AE4A55">
        <w:tc>
          <w:tcPr>
            <w:cnfStyle w:val="000010000000" w:firstRow="0" w:lastRow="0" w:firstColumn="0" w:lastColumn="0" w:oddVBand="1" w:evenVBand="0" w:oddHBand="0" w:evenHBand="0" w:firstRowFirstColumn="0" w:firstRowLastColumn="0" w:lastRowFirstColumn="0" w:lastRowLastColumn="0"/>
            <w:tcW w:w="7370" w:type="dxa"/>
          </w:tcPr>
          <w:p w14:paraId="6F395FA0" w14:textId="77777777" w:rsidR="00C8237D" w:rsidRDefault="00C8237D" w:rsidP="00227F13">
            <w:pPr>
              <w:tabs>
                <w:tab w:val="num" w:pos="720"/>
              </w:tabs>
            </w:pPr>
            <w:r>
              <w:t xml:space="preserve">Specified that state-specific </w:t>
            </w:r>
            <w:proofErr w:type="spellStart"/>
            <w:r>
              <w:t>InterQual</w:t>
            </w:r>
            <w:proofErr w:type="spellEnd"/>
            <w:r>
              <w:t xml:space="preserve"> </w:t>
            </w:r>
            <w:r w:rsidR="00227F13">
              <w:t>custom content</w:t>
            </w:r>
            <w:r>
              <w:t xml:space="preserve"> is included in plan-specific clinical policy.</w:t>
            </w:r>
          </w:p>
        </w:tc>
        <w:tc>
          <w:tcPr>
            <w:tcW w:w="900" w:type="dxa"/>
          </w:tcPr>
          <w:p w14:paraId="071666B4" w14:textId="77777777" w:rsidR="00C8237D" w:rsidRDefault="00C8237D" w:rsidP="005776FD">
            <w:pPr>
              <w:jc w:val="center"/>
              <w:cnfStyle w:val="000000000000" w:firstRow="0" w:lastRow="0" w:firstColumn="0" w:lastColumn="0" w:oddVBand="0" w:evenVBand="0" w:oddHBand="0" w:evenHBand="0" w:firstRowFirstColumn="0" w:firstRowLastColumn="0" w:lastRowFirstColumn="0" w:lastRowLastColumn="0"/>
            </w:pPr>
            <w:r>
              <w:t>03/1</w:t>
            </w:r>
            <w:r w:rsidR="00290832">
              <w:t>9</w:t>
            </w:r>
          </w:p>
        </w:tc>
        <w:tc>
          <w:tcPr>
            <w:cnfStyle w:val="000010000000" w:firstRow="0" w:lastRow="0" w:firstColumn="0" w:lastColumn="0" w:oddVBand="1" w:evenVBand="0" w:oddHBand="0" w:evenHBand="0" w:firstRowFirstColumn="0" w:firstRowLastColumn="0" w:lastRowFirstColumn="0" w:lastRowLastColumn="0"/>
            <w:tcW w:w="1260" w:type="dxa"/>
          </w:tcPr>
          <w:p w14:paraId="016EB853" w14:textId="77777777" w:rsidR="00C8237D" w:rsidRDefault="00C8237D" w:rsidP="00857C10">
            <w:pPr>
              <w:jc w:val="center"/>
            </w:pPr>
          </w:p>
        </w:tc>
      </w:tr>
      <w:tr w:rsidR="008F53A7" w14:paraId="64A027FD" w14:textId="77777777" w:rsidTr="00AE4A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52031AE5" w14:textId="16F8BFBE" w:rsidR="008F53A7" w:rsidRDefault="008F53A7" w:rsidP="00A9712F">
            <w:pPr>
              <w:tabs>
                <w:tab w:val="num" w:pos="720"/>
              </w:tabs>
            </w:pPr>
            <w:r>
              <w:t>Renumbered the policy from CP.MP.68 to CP.CPC.05. Changed references of McKesson to Change Healthcare</w:t>
            </w:r>
            <w:r w:rsidR="00A9712F">
              <w:t>.  Added a note in description that this</w:t>
            </w:r>
            <w:r w:rsidR="00A9712F" w:rsidRPr="00A9712F">
              <w:t xml:space="preserve"> policy may not be referenced in denial letters as the sole criteria for adverse determinations.</w:t>
            </w:r>
            <w:r w:rsidR="00A9712F">
              <w:t xml:space="preserve"> Added a</w:t>
            </w:r>
            <w:r w:rsidR="00A9712F" w:rsidRPr="00A9712F">
              <w:t>dvanced practice registered nurses</w:t>
            </w:r>
            <w:r w:rsidR="00A9712F">
              <w:t xml:space="preserve"> and d</w:t>
            </w:r>
            <w:r w:rsidR="00A9712F" w:rsidRPr="00A9712F">
              <w:t>octoral-level Board-Certified Behavioral Analysts</w:t>
            </w:r>
            <w:r w:rsidR="00A9712F">
              <w:t xml:space="preserve"> to provider type table.</w:t>
            </w:r>
          </w:p>
        </w:tc>
        <w:tc>
          <w:tcPr>
            <w:tcW w:w="900" w:type="dxa"/>
          </w:tcPr>
          <w:p w14:paraId="5C2BB68B" w14:textId="77777777" w:rsidR="008F53A7" w:rsidRDefault="008F53A7" w:rsidP="005776FD">
            <w:pPr>
              <w:jc w:val="center"/>
              <w:cnfStyle w:val="000000100000" w:firstRow="0" w:lastRow="0" w:firstColumn="0" w:lastColumn="0" w:oddVBand="0" w:evenVBand="0" w:oddHBand="1" w:evenHBand="0" w:firstRowFirstColumn="0" w:firstRowLastColumn="0" w:lastRowFirstColumn="0" w:lastRowLastColumn="0"/>
            </w:pPr>
            <w:r>
              <w:t>04/19</w:t>
            </w:r>
          </w:p>
        </w:tc>
        <w:tc>
          <w:tcPr>
            <w:cnfStyle w:val="000010000000" w:firstRow="0" w:lastRow="0" w:firstColumn="0" w:lastColumn="0" w:oddVBand="1" w:evenVBand="0" w:oddHBand="0" w:evenHBand="0" w:firstRowFirstColumn="0" w:firstRowLastColumn="0" w:lastRowFirstColumn="0" w:lastRowLastColumn="0"/>
            <w:tcW w:w="1260" w:type="dxa"/>
          </w:tcPr>
          <w:p w14:paraId="1406D182" w14:textId="3C474CBF" w:rsidR="008F53A7" w:rsidRDefault="0060509F" w:rsidP="00857C10">
            <w:pPr>
              <w:jc w:val="center"/>
            </w:pPr>
            <w:r>
              <w:t>06/19</w:t>
            </w:r>
          </w:p>
        </w:tc>
      </w:tr>
      <w:tr w:rsidR="00C61C7D" w14:paraId="5D9C31D8" w14:textId="77777777" w:rsidTr="00AE4A55">
        <w:tc>
          <w:tcPr>
            <w:cnfStyle w:val="000010000000" w:firstRow="0" w:lastRow="0" w:firstColumn="0" w:lastColumn="0" w:oddVBand="1" w:evenVBand="0" w:oddHBand="0" w:evenHBand="0" w:firstRowFirstColumn="0" w:firstRowLastColumn="0" w:lastRowFirstColumn="0" w:lastRowLastColumn="0"/>
            <w:tcW w:w="7370" w:type="dxa"/>
          </w:tcPr>
          <w:p w14:paraId="14744B91" w14:textId="7FF4435A" w:rsidR="00C61C7D" w:rsidRDefault="00C61C7D" w:rsidP="00A9712F">
            <w:pPr>
              <w:tabs>
                <w:tab w:val="num" w:pos="720"/>
              </w:tabs>
            </w:pPr>
            <w:r>
              <w:t xml:space="preserve">Specified that doctoral-level </w:t>
            </w:r>
            <w:r w:rsidRPr="00A9712F">
              <w:t>Board-Certified Behavioral Analysts</w:t>
            </w:r>
            <w:r>
              <w:t xml:space="preserve"> are needed for </w:t>
            </w:r>
            <w:r w:rsidRPr="00824B2C">
              <w:rPr>
                <w:b/>
              </w:rPr>
              <w:t>appeals</w:t>
            </w:r>
            <w:r>
              <w:t xml:space="preserve"> and not all denials.</w:t>
            </w:r>
          </w:p>
        </w:tc>
        <w:tc>
          <w:tcPr>
            <w:tcW w:w="900" w:type="dxa"/>
          </w:tcPr>
          <w:p w14:paraId="4C83BBFD" w14:textId="6CA93735" w:rsidR="00C61C7D" w:rsidRDefault="00C61C7D" w:rsidP="005776FD">
            <w:pPr>
              <w:jc w:val="center"/>
              <w:cnfStyle w:val="000000000000" w:firstRow="0" w:lastRow="0" w:firstColumn="0" w:lastColumn="0" w:oddVBand="0" w:evenVBand="0" w:oddHBand="0" w:evenHBand="0" w:firstRowFirstColumn="0" w:firstRowLastColumn="0" w:lastRowFirstColumn="0" w:lastRowLastColumn="0"/>
            </w:pPr>
            <w:r>
              <w:t>08/19</w:t>
            </w:r>
          </w:p>
        </w:tc>
        <w:tc>
          <w:tcPr>
            <w:cnfStyle w:val="000010000000" w:firstRow="0" w:lastRow="0" w:firstColumn="0" w:lastColumn="0" w:oddVBand="1" w:evenVBand="0" w:oddHBand="0" w:evenHBand="0" w:firstRowFirstColumn="0" w:firstRowLastColumn="0" w:lastRowFirstColumn="0" w:lastRowLastColumn="0"/>
            <w:tcW w:w="1260" w:type="dxa"/>
          </w:tcPr>
          <w:p w14:paraId="74CFA93B" w14:textId="77777777" w:rsidR="00C61C7D" w:rsidRDefault="00C61C7D" w:rsidP="00857C10">
            <w:pPr>
              <w:jc w:val="center"/>
            </w:pPr>
          </w:p>
        </w:tc>
      </w:tr>
    </w:tbl>
    <w:p w14:paraId="6F2B04DA" w14:textId="77777777" w:rsidR="00C75BD4" w:rsidRDefault="00C75BD4" w:rsidP="00AF5490"/>
    <w:p w14:paraId="60660745" w14:textId="77777777" w:rsidR="007B13E4" w:rsidRPr="00683874" w:rsidRDefault="007B13E4" w:rsidP="007B13E4">
      <w:pPr>
        <w:pStyle w:val="Heading3"/>
      </w:pPr>
      <w:r>
        <w:t>References</w:t>
      </w:r>
    </w:p>
    <w:p w14:paraId="5AC23C2F" w14:textId="77777777" w:rsidR="00113A92" w:rsidRDefault="007B13E4" w:rsidP="007B13E4">
      <w:pPr>
        <w:pStyle w:val="ListParagraph"/>
        <w:numPr>
          <w:ilvl w:val="0"/>
          <w:numId w:val="19"/>
        </w:numPr>
        <w:ind w:left="360"/>
        <w:rPr>
          <w:bCs/>
        </w:rPr>
      </w:pPr>
      <w:r w:rsidRPr="00CC0A71">
        <w:rPr>
          <w:bCs/>
        </w:rPr>
        <w:t xml:space="preserve">American Medical Association (AMA).  Statement of the AMA to the Institute of Medicine’s Committee on Determination of Essential Health Benefits.  January 14, 2011.  </w:t>
      </w:r>
    </w:p>
    <w:p w14:paraId="01841BB9" w14:textId="3A32F461" w:rsidR="00113A92" w:rsidRDefault="00824B2C" w:rsidP="00113A92">
      <w:pPr>
        <w:pStyle w:val="ListParagraph"/>
        <w:ind w:left="360"/>
      </w:pPr>
      <w:hyperlink r:id="rId14" w:history="1">
        <w:r w:rsidR="00113A92" w:rsidRPr="00D009AE">
          <w:rPr>
            <w:rStyle w:val="Hyperlink"/>
          </w:rPr>
          <w:t>http://www.nationalacademies.org/hmd/~/media/8D03963CAEB24450947C1AEC0CAECD85.ashx</w:t>
        </w:r>
      </w:hyperlink>
    </w:p>
    <w:p w14:paraId="21BD310A" w14:textId="77777777" w:rsidR="007B13E4" w:rsidRPr="00400300" w:rsidRDefault="007B13E4" w:rsidP="007B13E4">
      <w:pPr>
        <w:pStyle w:val="ListParagraph"/>
        <w:numPr>
          <w:ilvl w:val="0"/>
          <w:numId w:val="19"/>
        </w:numPr>
        <w:ind w:left="360"/>
        <w:rPr>
          <w:bCs/>
        </w:rPr>
      </w:pPr>
      <w:proofErr w:type="spellStart"/>
      <w:r w:rsidRPr="00400300">
        <w:rPr>
          <w:bCs/>
        </w:rPr>
        <w:t>Lembitz</w:t>
      </w:r>
      <w:proofErr w:type="spellEnd"/>
      <w:r w:rsidRPr="00400300">
        <w:rPr>
          <w:bCs/>
        </w:rPr>
        <w:t xml:space="preserve"> A, Clarke TJ.  Clarifying “never events” and introducing “always events”.  Patient </w:t>
      </w:r>
      <w:proofErr w:type="spellStart"/>
      <w:r w:rsidRPr="00400300">
        <w:rPr>
          <w:bCs/>
        </w:rPr>
        <w:t>Saf</w:t>
      </w:r>
      <w:proofErr w:type="spellEnd"/>
      <w:r w:rsidRPr="00400300">
        <w:rPr>
          <w:bCs/>
        </w:rPr>
        <w:t xml:space="preserve"> Surg. 2009;3:26. </w:t>
      </w:r>
    </w:p>
    <w:p w14:paraId="720F1131" w14:textId="77777777" w:rsidR="007B13E4" w:rsidRDefault="00722B81" w:rsidP="007B13E4">
      <w:pPr>
        <w:pStyle w:val="NormalWeb"/>
        <w:widowControl w:val="0"/>
        <w:numPr>
          <w:ilvl w:val="0"/>
          <w:numId w:val="19"/>
        </w:numPr>
        <w:spacing w:before="0" w:beforeAutospacing="0" w:after="0" w:afterAutospacing="0"/>
        <w:ind w:left="360"/>
        <w:rPr>
          <w:rFonts w:ascii="Times New Roman" w:hAnsi="Times New Roman" w:cs="Times New Roman"/>
          <w:bCs/>
        </w:rPr>
      </w:pPr>
      <w:r>
        <w:rPr>
          <w:rFonts w:ascii="Times New Roman" w:eastAsia="Times New Roman" w:hAnsi="Times New Roman" w:cs="Times New Roman"/>
        </w:rPr>
        <w:t>Change Healthcare</w:t>
      </w:r>
      <w:r w:rsidR="007B13E4">
        <w:rPr>
          <w:rFonts w:ascii="Times New Roman" w:eastAsia="Times New Roman" w:hAnsi="Times New Roman" w:cs="Times New Roman"/>
        </w:rPr>
        <w:t xml:space="preserve"> </w:t>
      </w:r>
      <w:proofErr w:type="spellStart"/>
      <w:r w:rsidR="007B13E4">
        <w:rPr>
          <w:rFonts w:ascii="Times New Roman" w:eastAsia="Times New Roman" w:hAnsi="Times New Roman" w:cs="Times New Roman"/>
        </w:rPr>
        <w:t>InterQual</w:t>
      </w:r>
      <w:proofErr w:type="spellEnd"/>
      <w:r w:rsidR="007B13E4" w:rsidRPr="00631C01">
        <w:rPr>
          <w:rFonts w:ascii="Times New Roman" w:eastAsia="Times New Roman" w:hAnsi="Times New Roman" w:cs="Times New Roman"/>
          <w:vertAlign w:val="superscript"/>
        </w:rPr>
        <w:t>®</w:t>
      </w:r>
      <w:r w:rsidR="007B13E4">
        <w:rPr>
          <w:rFonts w:ascii="Times New Roman" w:eastAsia="Times New Roman" w:hAnsi="Times New Roman" w:cs="Times New Roman"/>
        </w:rPr>
        <w:t xml:space="preserve"> criteria.</w:t>
      </w:r>
      <w:r w:rsidR="007B13E4">
        <w:rPr>
          <w:rFonts w:ascii="Times New Roman" w:hAnsi="Times New Roman" w:cs="Times New Roman"/>
          <w:bCs/>
        </w:rPr>
        <w:t xml:space="preserve"> </w:t>
      </w:r>
    </w:p>
    <w:p w14:paraId="4713665B" w14:textId="77777777" w:rsidR="007B13E4" w:rsidRPr="00631C01" w:rsidRDefault="007B13E4" w:rsidP="007B13E4">
      <w:pPr>
        <w:pStyle w:val="NormalWeb"/>
        <w:widowControl w:val="0"/>
        <w:numPr>
          <w:ilvl w:val="0"/>
          <w:numId w:val="19"/>
        </w:numPr>
        <w:spacing w:before="0" w:beforeAutospacing="0" w:after="0" w:afterAutospacing="0"/>
        <w:ind w:left="360"/>
        <w:rPr>
          <w:rFonts w:ascii="Times New Roman" w:hAnsi="Times New Roman" w:cs="Times New Roman"/>
          <w:bCs/>
        </w:rPr>
      </w:pPr>
      <w:r>
        <w:rPr>
          <w:rFonts w:ascii="Times New Roman" w:hAnsi="Times New Roman" w:cs="Times New Roman"/>
        </w:rPr>
        <w:t xml:space="preserve">MCG (formerly </w:t>
      </w:r>
      <w:proofErr w:type="spellStart"/>
      <w:r>
        <w:rPr>
          <w:rFonts w:ascii="Times New Roman" w:hAnsi="Times New Roman" w:cs="Times New Roman"/>
        </w:rPr>
        <w:t>Milliman</w:t>
      </w:r>
      <w:proofErr w:type="spellEnd"/>
      <w:r>
        <w:rPr>
          <w:rFonts w:ascii="Times New Roman" w:hAnsi="Times New Roman" w:cs="Times New Roman"/>
        </w:rPr>
        <w:t xml:space="preserve"> Care Guidelines</w:t>
      </w:r>
      <w:r w:rsidRPr="00B00986">
        <w:rPr>
          <w:rFonts w:ascii="Times New Roman" w:hAnsi="Times New Roman" w:cs="Times New Roman"/>
          <w:vertAlign w:val="superscript"/>
        </w:rPr>
        <w:t>®</w:t>
      </w:r>
      <w:r>
        <w:rPr>
          <w:rFonts w:ascii="Times New Roman" w:hAnsi="Times New Roman" w:cs="Times New Roman"/>
        </w:rPr>
        <w:t>) guidelines</w:t>
      </w:r>
      <w:r>
        <w:rPr>
          <w:rFonts w:ascii="Times New Roman" w:hAnsi="Times New Roman" w:cs="Times New Roman"/>
          <w:bCs/>
        </w:rPr>
        <w:t>.</w:t>
      </w:r>
    </w:p>
    <w:p w14:paraId="4E4A9E14" w14:textId="77777777" w:rsidR="007B13E4" w:rsidRPr="00CC0A71" w:rsidRDefault="007B13E4" w:rsidP="007B13E4">
      <w:pPr>
        <w:pStyle w:val="ListParagraph"/>
        <w:numPr>
          <w:ilvl w:val="0"/>
          <w:numId w:val="19"/>
        </w:numPr>
        <w:ind w:left="360"/>
        <w:rPr>
          <w:bCs/>
        </w:rPr>
      </w:pPr>
      <w:r w:rsidRPr="00CC0A71">
        <w:rPr>
          <w:bCs/>
        </w:rPr>
        <w:lastRenderedPageBreak/>
        <w:t xml:space="preserve">National Committee for Quality Assurance.  NCQA Standards and Guidelines for the Accreditation of Health Plans 2014.  </w:t>
      </w:r>
    </w:p>
    <w:p w14:paraId="1F9F4A1F" w14:textId="77777777" w:rsidR="007B13E4" w:rsidRPr="00400300" w:rsidRDefault="007B13E4" w:rsidP="007B13E4">
      <w:pPr>
        <w:pStyle w:val="ListParagraph"/>
        <w:numPr>
          <w:ilvl w:val="0"/>
          <w:numId w:val="19"/>
        </w:numPr>
        <w:ind w:left="360"/>
        <w:rPr>
          <w:bCs/>
        </w:rPr>
      </w:pPr>
      <w:r w:rsidRPr="00400300">
        <w:rPr>
          <w:bCs/>
        </w:rPr>
        <w:t xml:space="preserve">National Quality Forum.  Serious reportable events in healthcare 2006 update: A consensus report.  </w:t>
      </w:r>
    </w:p>
    <w:p w14:paraId="3CEB4D78" w14:textId="77777777" w:rsidR="007B13E4" w:rsidRPr="00400300" w:rsidRDefault="007B13E4" w:rsidP="007B13E4">
      <w:pPr>
        <w:pStyle w:val="ListParagraph"/>
        <w:numPr>
          <w:ilvl w:val="0"/>
          <w:numId w:val="19"/>
        </w:numPr>
        <w:ind w:left="360"/>
        <w:rPr>
          <w:b/>
          <w:bCs/>
        </w:rPr>
      </w:pPr>
      <w:r w:rsidRPr="00400300">
        <w:rPr>
          <w:bCs/>
        </w:rPr>
        <w:t>Steinberg, EP, Tunis, S, Shapiro, D.  Insurance coverage for experimental technologies.  Health Affairs, 1995 Vol. 14:4.</w:t>
      </w:r>
    </w:p>
    <w:sectPr w:rsidR="007B13E4" w:rsidRPr="00400300" w:rsidSect="00D543E7">
      <w:type w:val="continuous"/>
      <w:pgSz w:w="12240" w:h="15840" w:code="1"/>
      <w:pgMar w:top="1440" w:right="1440" w:bottom="117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B792" w14:textId="77777777" w:rsidR="00761769" w:rsidRDefault="00761769">
      <w:r>
        <w:separator/>
      </w:r>
    </w:p>
  </w:endnote>
  <w:endnote w:type="continuationSeparator" w:id="0">
    <w:p w14:paraId="4260CB63" w14:textId="77777777" w:rsidR="00761769" w:rsidRDefault="0076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91B1" w14:textId="7DBB6452" w:rsidR="002E27DC" w:rsidRPr="00D574CA" w:rsidRDefault="002E27DC" w:rsidP="00D574CA">
    <w:pPr>
      <w:pStyle w:val="Footer"/>
      <w:jc w:val="center"/>
    </w:pPr>
    <w:r>
      <w:t xml:space="preserve">Page </w:t>
    </w:r>
    <w:r>
      <w:rPr>
        <w:b/>
        <w:bCs/>
      </w:rPr>
      <w:fldChar w:fldCharType="begin"/>
    </w:r>
    <w:r>
      <w:rPr>
        <w:b/>
        <w:bCs/>
      </w:rPr>
      <w:instrText xml:space="preserve"> PAGE </w:instrText>
    </w:r>
    <w:r>
      <w:rPr>
        <w:b/>
        <w:bCs/>
      </w:rPr>
      <w:fldChar w:fldCharType="separate"/>
    </w:r>
    <w:r w:rsidR="00824B2C">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824B2C">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0D0B" w14:textId="7FB56D27" w:rsidR="002E27DC" w:rsidRDefault="002E27DC" w:rsidP="002C6AAB">
    <w:pPr>
      <w:pStyle w:val="Footer"/>
      <w:jc w:val="center"/>
    </w:pPr>
    <w:r>
      <w:t xml:space="preserve">Page </w:t>
    </w:r>
    <w:r>
      <w:fldChar w:fldCharType="begin"/>
    </w:r>
    <w:r>
      <w:instrText xml:space="preserve"> PAGE   \* MERGEFORMAT </w:instrText>
    </w:r>
    <w:r>
      <w:fldChar w:fldCharType="separate"/>
    </w:r>
    <w:r w:rsidR="00824B2C">
      <w:rPr>
        <w:noProof/>
      </w:rPr>
      <w:t>1</w:t>
    </w:r>
    <w:r>
      <w:fldChar w:fldCharType="end"/>
    </w:r>
    <w:r>
      <w:t xml:space="preserve"> of </w:t>
    </w:r>
    <w:r w:rsidR="00290832">
      <w:rPr>
        <w:noProof/>
      </w:rPr>
      <w:fldChar w:fldCharType="begin"/>
    </w:r>
    <w:r w:rsidR="00290832">
      <w:rPr>
        <w:noProof/>
      </w:rPr>
      <w:instrText xml:space="preserve"> NUMPAGES   \* MERGEFORMAT </w:instrText>
    </w:r>
    <w:r w:rsidR="00290832">
      <w:rPr>
        <w:noProof/>
      </w:rPr>
      <w:fldChar w:fldCharType="separate"/>
    </w:r>
    <w:r w:rsidR="00824B2C">
      <w:rPr>
        <w:noProof/>
      </w:rPr>
      <w:t>6</w:t>
    </w:r>
    <w:r w:rsidR="002908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2D95" w14:textId="77777777" w:rsidR="00761769" w:rsidRDefault="00761769">
      <w:r>
        <w:separator/>
      </w:r>
    </w:p>
  </w:footnote>
  <w:footnote w:type="continuationSeparator" w:id="0">
    <w:p w14:paraId="2CA803F3" w14:textId="77777777" w:rsidR="00761769" w:rsidRDefault="0076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2034" w14:textId="77777777" w:rsidR="002E27DC" w:rsidRPr="00B777AF" w:rsidRDefault="002E27DC"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4F4CEC00" wp14:editId="550699A9">
          <wp:extent cx="914400" cy="238125"/>
          <wp:effectExtent l="0" t="0" r="0" b="9525"/>
          <wp:docPr id="4"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1DC21574" w14:textId="77777777" w:rsidR="002E27DC" w:rsidRPr="00B777AF" w:rsidRDefault="002E27DC" w:rsidP="00B777AF">
    <w:pPr>
      <w:rPr>
        <w:color w:val="00548C"/>
      </w:rPr>
    </w:pPr>
    <w:r>
      <w:rPr>
        <w:rFonts w:ascii="Times New Roman Bold" w:hAnsi="Times New Roman Bold"/>
        <w:b/>
        <w:bCs/>
        <w:color w:val="00548C"/>
      </w:rPr>
      <w:t>Medical Necessity Criteria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CE88" w14:textId="77777777" w:rsidR="002E27DC" w:rsidRDefault="002E27DC" w:rsidP="00B777AF">
    <w:pPr>
      <w:pStyle w:val="Header"/>
      <w:jc w:val="right"/>
    </w:pPr>
    <w:r>
      <w:rPr>
        <w:noProof/>
      </w:rPr>
      <w:drawing>
        <wp:inline distT="0" distB="0" distL="0" distR="0" wp14:anchorId="7941C42E" wp14:editId="6B10061B">
          <wp:extent cx="1371600" cy="352425"/>
          <wp:effectExtent l="0" t="0" r="0" b="9525"/>
          <wp:docPr id="5" name="Picture 5"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66"/>
    <w:multiLevelType w:val="hybridMultilevel"/>
    <w:tmpl w:val="1458B9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2D62"/>
    <w:multiLevelType w:val="hybridMultilevel"/>
    <w:tmpl w:val="A8C0712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22844A31"/>
    <w:multiLevelType w:val="hybridMultilevel"/>
    <w:tmpl w:val="53AAF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1B95"/>
    <w:multiLevelType w:val="hybridMultilevel"/>
    <w:tmpl w:val="1A9637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8618A"/>
    <w:multiLevelType w:val="hybridMultilevel"/>
    <w:tmpl w:val="728A80A6"/>
    <w:lvl w:ilvl="0" w:tplc="37563750">
      <w:start w:val="1"/>
      <w:numFmt w:val="bullet"/>
      <w:lvlText w:val=""/>
      <w:lvlJc w:val="left"/>
      <w:pPr>
        <w:tabs>
          <w:tab w:val="num" w:pos="-734"/>
        </w:tabs>
        <w:ind w:left="173" w:hanging="173"/>
      </w:pPr>
      <w:rPr>
        <w:rFonts w:ascii="Symbol" w:hAnsi="Symbol" w:hint="default"/>
        <w:sz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33115ACD"/>
    <w:multiLevelType w:val="hybridMultilevel"/>
    <w:tmpl w:val="5FB408DE"/>
    <w:lvl w:ilvl="0" w:tplc="37563750">
      <w:start w:val="1"/>
      <w:numFmt w:val="bullet"/>
      <w:lvlText w:val=""/>
      <w:lvlJc w:val="left"/>
      <w:pPr>
        <w:tabs>
          <w:tab w:val="num" w:pos="-734"/>
        </w:tabs>
        <w:ind w:left="173" w:hanging="173"/>
      </w:pPr>
      <w:rPr>
        <w:rFonts w:ascii="Symbol" w:hAnsi="Symbol" w:hint="default"/>
        <w:sz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9"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77E2722"/>
    <w:multiLevelType w:val="hybridMultilevel"/>
    <w:tmpl w:val="F28EBDF0"/>
    <w:lvl w:ilvl="0" w:tplc="37563750">
      <w:start w:val="1"/>
      <w:numFmt w:val="bullet"/>
      <w:lvlText w:val=""/>
      <w:lvlJc w:val="left"/>
      <w:pPr>
        <w:tabs>
          <w:tab w:val="num" w:pos="-734"/>
        </w:tabs>
        <w:ind w:left="173" w:hanging="173"/>
      </w:pPr>
      <w:rPr>
        <w:rFonts w:ascii="Symbol" w:hAnsi="Symbol" w:hint="default"/>
        <w:sz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1" w15:restartNumberingAfterBreak="0">
    <w:nsid w:val="39372D2B"/>
    <w:multiLevelType w:val="hybridMultilevel"/>
    <w:tmpl w:val="24345D48"/>
    <w:lvl w:ilvl="0" w:tplc="0238804E">
      <w:start w:val="1"/>
      <w:numFmt w:val="upperLetter"/>
      <w:lvlText w:val="%1."/>
      <w:lvlJc w:val="left"/>
      <w:pPr>
        <w:ind w:left="720" w:hanging="360"/>
      </w:pPr>
      <w:rPr>
        <w:rFonts w:hint="default"/>
        <w:b w:val="0"/>
      </w:rPr>
    </w:lvl>
    <w:lvl w:ilvl="1" w:tplc="63D8B128">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85C62"/>
    <w:multiLevelType w:val="hybridMultilevel"/>
    <w:tmpl w:val="E42C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FBA"/>
    <w:multiLevelType w:val="hybridMultilevel"/>
    <w:tmpl w:val="A8C0712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5"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A6A56"/>
    <w:multiLevelType w:val="hybridMultilevel"/>
    <w:tmpl w:val="A8C0712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 w15:restartNumberingAfterBreak="0">
    <w:nsid w:val="675A43D8"/>
    <w:multiLevelType w:val="hybridMultilevel"/>
    <w:tmpl w:val="D24437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6"/>
  </w:num>
  <w:num w:numId="4">
    <w:abstractNumId w:val="9"/>
  </w:num>
  <w:num w:numId="5">
    <w:abstractNumId w:val="12"/>
  </w:num>
  <w:num w:numId="6">
    <w:abstractNumId w:val="15"/>
  </w:num>
  <w:num w:numId="7">
    <w:abstractNumId w:val="18"/>
  </w:num>
  <w:num w:numId="8">
    <w:abstractNumId w:val="2"/>
  </w:num>
  <w:num w:numId="9">
    <w:abstractNumId w:val="5"/>
  </w:num>
  <w:num w:numId="10">
    <w:abstractNumId w:val="17"/>
  </w:num>
  <w:num w:numId="11">
    <w:abstractNumId w:val="11"/>
  </w:num>
  <w:num w:numId="12">
    <w:abstractNumId w:val="16"/>
  </w:num>
  <w:num w:numId="13">
    <w:abstractNumId w:val="14"/>
  </w:num>
  <w:num w:numId="14">
    <w:abstractNumId w:val="8"/>
  </w:num>
  <w:num w:numId="15">
    <w:abstractNumId w:val="10"/>
  </w:num>
  <w:num w:numId="16">
    <w:abstractNumId w:val="7"/>
  </w:num>
  <w:num w:numId="17">
    <w:abstractNumId w:val="3"/>
  </w:num>
  <w:num w:numId="18">
    <w:abstractNumId w:val="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42CDC"/>
    <w:rsid w:val="000465DE"/>
    <w:rsid w:val="0004733E"/>
    <w:rsid w:val="00060509"/>
    <w:rsid w:val="00071BAF"/>
    <w:rsid w:val="00075AB4"/>
    <w:rsid w:val="00083740"/>
    <w:rsid w:val="00097675"/>
    <w:rsid w:val="000F10C2"/>
    <w:rsid w:val="00113A92"/>
    <w:rsid w:val="0014316D"/>
    <w:rsid w:val="00170B14"/>
    <w:rsid w:val="00173B90"/>
    <w:rsid w:val="001818D7"/>
    <w:rsid w:val="00185104"/>
    <w:rsid w:val="001962BE"/>
    <w:rsid w:val="00196689"/>
    <w:rsid w:val="00196935"/>
    <w:rsid w:val="0019746F"/>
    <w:rsid w:val="001B4A90"/>
    <w:rsid w:val="001D0D34"/>
    <w:rsid w:val="001D2358"/>
    <w:rsid w:val="001D70D4"/>
    <w:rsid w:val="001E7D12"/>
    <w:rsid w:val="0020049B"/>
    <w:rsid w:val="00200A0E"/>
    <w:rsid w:val="0020675F"/>
    <w:rsid w:val="00220736"/>
    <w:rsid w:val="00227F13"/>
    <w:rsid w:val="00230FE4"/>
    <w:rsid w:val="00233651"/>
    <w:rsid w:val="00241AEC"/>
    <w:rsid w:val="0025172C"/>
    <w:rsid w:val="00254020"/>
    <w:rsid w:val="0025452A"/>
    <w:rsid w:val="00285997"/>
    <w:rsid w:val="00290832"/>
    <w:rsid w:val="002A39EE"/>
    <w:rsid w:val="002C6AAB"/>
    <w:rsid w:val="002D019A"/>
    <w:rsid w:val="002E27DC"/>
    <w:rsid w:val="002E48E7"/>
    <w:rsid w:val="003140D6"/>
    <w:rsid w:val="003206FF"/>
    <w:rsid w:val="00350F22"/>
    <w:rsid w:val="00353118"/>
    <w:rsid w:val="003840CC"/>
    <w:rsid w:val="003C00D7"/>
    <w:rsid w:val="003D1668"/>
    <w:rsid w:val="003D1767"/>
    <w:rsid w:val="003D28FE"/>
    <w:rsid w:val="003D2CCA"/>
    <w:rsid w:val="003D7BE7"/>
    <w:rsid w:val="00400300"/>
    <w:rsid w:val="0041027F"/>
    <w:rsid w:val="004178E0"/>
    <w:rsid w:val="00472C6C"/>
    <w:rsid w:val="00480C09"/>
    <w:rsid w:val="00496BCF"/>
    <w:rsid w:val="00497AED"/>
    <w:rsid w:val="004E0B99"/>
    <w:rsid w:val="004F6394"/>
    <w:rsid w:val="00505830"/>
    <w:rsid w:val="005103B8"/>
    <w:rsid w:val="005423D4"/>
    <w:rsid w:val="005537B0"/>
    <w:rsid w:val="005647FD"/>
    <w:rsid w:val="005776FD"/>
    <w:rsid w:val="00583376"/>
    <w:rsid w:val="00592B66"/>
    <w:rsid w:val="005C17DF"/>
    <w:rsid w:val="005C3607"/>
    <w:rsid w:val="005D009F"/>
    <w:rsid w:val="005D5146"/>
    <w:rsid w:val="005E411E"/>
    <w:rsid w:val="0060509F"/>
    <w:rsid w:val="00611154"/>
    <w:rsid w:val="00612614"/>
    <w:rsid w:val="006474BB"/>
    <w:rsid w:val="006664E9"/>
    <w:rsid w:val="00683874"/>
    <w:rsid w:val="006C74DF"/>
    <w:rsid w:val="006F4D70"/>
    <w:rsid w:val="00715F4D"/>
    <w:rsid w:val="00722B81"/>
    <w:rsid w:val="007426E2"/>
    <w:rsid w:val="00744250"/>
    <w:rsid w:val="00761769"/>
    <w:rsid w:val="007764CE"/>
    <w:rsid w:val="00781BD2"/>
    <w:rsid w:val="007A0BCC"/>
    <w:rsid w:val="007B07AE"/>
    <w:rsid w:val="007B13E4"/>
    <w:rsid w:val="007B50D0"/>
    <w:rsid w:val="007C5D20"/>
    <w:rsid w:val="007D4801"/>
    <w:rsid w:val="007F1F19"/>
    <w:rsid w:val="007F5718"/>
    <w:rsid w:val="00824B2C"/>
    <w:rsid w:val="00840CB8"/>
    <w:rsid w:val="00857C10"/>
    <w:rsid w:val="00875924"/>
    <w:rsid w:val="00877EC7"/>
    <w:rsid w:val="00896E94"/>
    <w:rsid w:val="008B0705"/>
    <w:rsid w:val="008B0CCB"/>
    <w:rsid w:val="008C6B3A"/>
    <w:rsid w:val="008D79A4"/>
    <w:rsid w:val="008F53A7"/>
    <w:rsid w:val="00902C9B"/>
    <w:rsid w:val="009135E0"/>
    <w:rsid w:val="00915CA4"/>
    <w:rsid w:val="009179E9"/>
    <w:rsid w:val="0092660D"/>
    <w:rsid w:val="00961071"/>
    <w:rsid w:val="00963062"/>
    <w:rsid w:val="009735FA"/>
    <w:rsid w:val="00977ECA"/>
    <w:rsid w:val="00982180"/>
    <w:rsid w:val="0098238D"/>
    <w:rsid w:val="009928B2"/>
    <w:rsid w:val="009C05D1"/>
    <w:rsid w:val="009C61B2"/>
    <w:rsid w:val="009E6F29"/>
    <w:rsid w:val="009F1F90"/>
    <w:rsid w:val="00A41969"/>
    <w:rsid w:val="00A50846"/>
    <w:rsid w:val="00A60413"/>
    <w:rsid w:val="00A77EEB"/>
    <w:rsid w:val="00A83658"/>
    <w:rsid w:val="00A84F56"/>
    <w:rsid w:val="00A85489"/>
    <w:rsid w:val="00A86555"/>
    <w:rsid w:val="00A87B1F"/>
    <w:rsid w:val="00A95789"/>
    <w:rsid w:val="00A9712F"/>
    <w:rsid w:val="00AA336E"/>
    <w:rsid w:val="00AA428E"/>
    <w:rsid w:val="00AD1AA6"/>
    <w:rsid w:val="00AE4A55"/>
    <w:rsid w:val="00AF1F2A"/>
    <w:rsid w:val="00AF30EF"/>
    <w:rsid w:val="00AF5490"/>
    <w:rsid w:val="00B4633B"/>
    <w:rsid w:val="00B77444"/>
    <w:rsid w:val="00B777AF"/>
    <w:rsid w:val="00B81789"/>
    <w:rsid w:val="00B92DF1"/>
    <w:rsid w:val="00BE6729"/>
    <w:rsid w:val="00BF4150"/>
    <w:rsid w:val="00C079B0"/>
    <w:rsid w:val="00C14250"/>
    <w:rsid w:val="00C2297C"/>
    <w:rsid w:val="00C27391"/>
    <w:rsid w:val="00C4674E"/>
    <w:rsid w:val="00C61C7D"/>
    <w:rsid w:val="00C63D52"/>
    <w:rsid w:val="00C64BB4"/>
    <w:rsid w:val="00C73CF5"/>
    <w:rsid w:val="00C75BD4"/>
    <w:rsid w:val="00C817A1"/>
    <w:rsid w:val="00C8237D"/>
    <w:rsid w:val="00C859C3"/>
    <w:rsid w:val="00C93AB1"/>
    <w:rsid w:val="00CA53B9"/>
    <w:rsid w:val="00CA5C08"/>
    <w:rsid w:val="00CC0A71"/>
    <w:rsid w:val="00CD7A78"/>
    <w:rsid w:val="00CF2624"/>
    <w:rsid w:val="00D36448"/>
    <w:rsid w:val="00D42052"/>
    <w:rsid w:val="00D543E7"/>
    <w:rsid w:val="00D574CA"/>
    <w:rsid w:val="00D71BC4"/>
    <w:rsid w:val="00DA67B8"/>
    <w:rsid w:val="00DB1DE9"/>
    <w:rsid w:val="00DD025A"/>
    <w:rsid w:val="00DD7D7A"/>
    <w:rsid w:val="00DE18E2"/>
    <w:rsid w:val="00DE358B"/>
    <w:rsid w:val="00E120FB"/>
    <w:rsid w:val="00E37ECA"/>
    <w:rsid w:val="00E747AD"/>
    <w:rsid w:val="00E97C17"/>
    <w:rsid w:val="00EA3809"/>
    <w:rsid w:val="00ED0A0D"/>
    <w:rsid w:val="00EF482B"/>
    <w:rsid w:val="00F03DC0"/>
    <w:rsid w:val="00F2705D"/>
    <w:rsid w:val="00F422E1"/>
    <w:rsid w:val="00F71F8E"/>
    <w:rsid w:val="00F74762"/>
    <w:rsid w:val="00F823F3"/>
    <w:rsid w:val="00F83E39"/>
    <w:rsid w:val="00F95133"/>
    <w:rsid w:val="00FA0BEA"/>
    <w:rsid w:val="00FB0592"/>
    <w:rsid w:val="00FB139B"/>
    <w:rsid w:val="00FC5688"/>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90C1E"/>
  <w15:docId w15:val="{BF41E31D-EE16-4CCB-94CC-957E3295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83874"/>
    <w:rPr>
      <w:rFonts w:ascii="Bookman Old Style" w:hAnsi="Bookman Old Style"/>
      <w:szCs w:val="20"/>
    </w:rPr>
  </w:style>
  <w:style w:type="character" w:customStyle="1" w:styleId="BodyTextChar">
    <w:name w:val="Body Text Char"/>
    <w:basedOn w:val="DefaultParagraphFont"/>
    <w:link w:val="BodyText"/>
    <w:rsid w:val="00683874"/>
    <w:rPr>
      <w:rFonts w:ascii="Bookman Old Style" w:hAnsi="Bookman Old Style"/>
      <w:sz w:val="24"/>
    </w:rPr>
  </w:style>
  <w:style w:type="paragraph" w:styleId="BodyTextIndent">
    <w:name w:val="Body Text Indent"/>
    <w:basedOn w:val="Normal"/>
    <w:link w:val="BodyTextIndentChar"/>
    <w:rsid w:val="00683874"/>
    <w:pPr>
      <w:ind w:left="360"/>
    </w:pPr>
    <w:rPr>
      <w:rFonts w:ascii="Bookman Old Style" w:hAnsi="Bookman Old Style"/>
      <w:szCs w:val="20"/>
    </w:rPr>
  </w:style>
  <w:style w:type="character" w:customStyle="1" w:styleId="BodyTextIndentChar">
    <w:name w:val="Body Text Indent Char"/>
    <w:basedOn w:val="DefaultParagraphFont"/>
    <w:link w:val="BodyTextIndent"/>
    <w:rsid w:val="00683874"/>
    <w:rPr>
      <w:rFonts w:ascii="Bookman Old Style" w:hAnsi="Bookman Old Style"/>
      <w:sz w:val="24"/>
    </w:rPr>
  </w:style>
  <w:style w:type="paragraph" w:styleId="ListParagraph">
    <w:name w:val="List Paragraph"/>
    <w:basedOn w:val="Normal"/>
    <w:uiPriority w:val="34"/>
    <w:qFormat/>
    <w:rsid w:val="00C27391"/>
    <w:pPr>
      <w:ind w:left="720"/>
      <w:contextualSpacing/>
    </w:pPr>
  </w:style>
  <w:style w:type="character" w:styleId="CommentReference">
    <w:name w:val="annotation reference"/>
    <w:basedOn w:val="DefaultParagraphFont"/>
    <w:semiHidden/>
    <w:unhideWhenUsed/>
    <w:rsid w:val="008F53A7"/>
    <w:rPr>
      <w:sz w:val="16"/>
      <w:szCs w:val="16"/>
    </w:rPr>
  </w:style>
  <w:style w:type="paragraph" w:styleId="CommentText">
    <w:name w:val="annotation text"/>
    <w:basedOn w:val="Normal"/>
    <w:link w:val="CommentTextChar"/>
    <w:semiHidden/>
    <w:unhideWhenUsed/>
    <w:rsid w:val="008F53A7"/>
    <w:rPr>
      <w:sz w:val="20"/>
      <w:szCs w:val="20"/>
    </w:rPr>
  </w:style>
  <w:style w:type="character" w:customStyle="1" w:styleId="CommentTextChar">
    <w:name w:val="Comment Text Char"/>
    <w:basedOn w:val="DefaultParagraphFont"/>
    <w:link w:val="CommentText"/>
    <w:semiHidden/>
    <w:rsid w:val="008F53A7"/>
  </w:style>
  <w:style w:type="paragraph" w:styleId="CommentSubject">
    <w:name w:val="annotation subject"/>
    <w:basedOn w:val="CommentText"/>
    <w:next w:val="CommentText"/>
    <w:link w:val="CommentSubjectChar"/>
    <w:semiHidden/>
    <w:unhideWhenUsed/>
    <w:rsid w:val="008F53A7"/>
    <w:rPr>
      <w:b/>
      <w:bCs/>
    </w:rPr>
  </w:style>
  <w:style w:type="character" w:customStyle="1" w:styleId="CommentSubjectChar">
    <w:name w:val="Comment Subject Char"/>
    <w:basedOn w:val="CommentTextChar"/>
    <w:link w:val="CommentSubject"/>
    <w:semiHidden/>
    <w:rsid w:val="008F53A7"/>
    <w:rPr>
      <w:b/>
      <w:bCs/>
    </w:rPr>
  </w:style>
  <w:style w:type="paragraph" w:styleId="Revision">
    <w:name w:val="Revision"/>
    <w:hidden/>
    <w:uiPriority w:val="99"/>
    <w:semiHidden/>
    <w:rsid w:val="008D7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4762">
      <w:bodyDiv w:val="1"/>
      <w:marLeft w:val="0"/>
      <w:marRight w:val="0"/>
      <w:marTop w:val="0"/>
      <w:marBottom w:val="0"/>
      <w:divBdr>
        <w:top w:val="none" w:sz="0" w:space="0" w:color="auto"/>
        <w:left w:val="none" w:sz="0" w:space="0" w:color="auto"/>
        <w:bottom w:val="none" w:sz="0" w:space="0" w:color="auto"/>
        <w:right w:val="none" w:sz="0" w:space="0" w:color="auto"/>
      </w:divBdr>
    </w:div>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6896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cademies.org/hmd/~/media/8D03963CAEB24450947C1AEC0CAECD85.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D3C61-F219-4AF4-89E3-875073092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3D06B-9CC4-41AF-A46E-745D420CE5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54B1F5-9709-48E5-8CCD-023FA5BC3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12571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Sarah Colbert-Fluchel</cp:lastModifiedBy>
  <cp:revision>2</cp:revision>
  <cp:lastPrinted>2015-06-25T20:16:00Z</cp:lastPrinted>
  <dcterms:created xsi:type="dcterms:W3CDTF">2019-08-23T12:32:00Z</dcterms:created>
  <dcterms:modified xsi:type="dcterms:W3CDTF">2019-08-23T12:32:00Z</dcterms:modified>
</cp:coreProperties>
</file>