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46A330" w14:textId="506DE48D" w:rsidR="009A1963" w:rsidRDefault="009A1963" w:rsidP="00D574CA">
      <w:pPr>
        <w:pStyle w:val="PolicyMainHead"/>
        <w:tabs>
          <w:tab w:val="left" w:pos="360"/>
        </w:tabs>
        <w:spacing w:after="0" w:line="240" w:lineRule="auto"/>
        <w:rPr>
          <w:color w:val="00548C"/>
          <w:sz w:val="24"/>
        </w:rPr>
        <w:sectPr w:rsidR="009A1963" w:rsidSect="00B777AF">
          <w:headerReference w:type="default" r:id="rId10"/>
          <w:footerReference w:type="even" r:id="rId11"/>
          <w:footerReference w:type="default" r:id="rId12"/>
          <w:headerReference w:type="first" r:id="rId13"/>
          <w:footerReference w:type="first" r:id="rId14"/>
          <w:pgSz w:w="12240" w:h="15840" w:code="1"/>
          <w:pgMar w:top="1440" w:right="907" w:bottom="1152" w:left="1440" w:header="576" w:footer="288" w:gutter="0"/>
          <w:cols w:space="720"/>
          <w:titlePg/>
          <w:docGrid w:linePitch="360"/>
        </w:sectPr>
      </w:pPr>
      <w:r>
        <w:rPr>
          <w:rFonts w:ascii="Times New Roman" w:hAnsi="Times New Roman"/>
          <w:color w:val="00548C"/>
          <w:sz w:val="36"/>
        </w:rPr>
        <w:t>Clinic</w:t>
      </w:r>
      <w:r w:rsidRPr="005D7B81">
        <w:rPr>
          <w:rFonts w:ascii="Times New Roman" w:hAnsi="Times New Roman"/>
          <w:color w:val="00548C"/>
          <w:sz w:val="36"/>
        </w:rPr>
        <w:t xml:space="preserve">al </w:t>
      </w:r>
      <w:r>
        <w:rPr>
          <w:rFonts w:ascii="Times New Roman" w:hAnsi="Times New Roman"/>
          <w:color w:val="00548C"/>
          <w:sz w:val="36"/>
        </w:rPr>
        <w:t xml:space="preserve">Policy: </w:t>
      </w:r>
      <w:r w:rsidRPr="003765C1">
        <w:rPr>
          <w:rFonts w:ascii="Times New Roman" w:hAnsi="Times New Roman"/>
          <w:color w:val="00548C"/>
          <w:sz w:val="36"/>
        </w:rPr>
        <w:t>Fertility Preservation</w:t>
      </w:r>
    </w:p>
    <w:p w14:paraId="5D379781" w14:textId="3C771052" w:rsidR="00E430C1" w:rsidRPr="003D7BE7" w:rsidRDefault="009A1963" w:rsidP="00E430C1">
      <w:pPr>
        <w:pStyle w:val="PolicyMainHead"/>
        <w:tabs>
          <w:tab w:val="left" w:pos="360"/>
        </w:tabs>
        <w:spacing w:after="0" w:line="240" w:lineRule="auto"/>
        <w:rPr>
          <w:rFonts w:ascii="Times New Roman" w:hAnsi="Times New Roman"/>
          <w:color w:val="00548C"/>
          <w:sz w:val="24"/>
          <w:szCs w:val="24"/>
        </w:rPr>
        <w:sectPr w:rsidR="00E430C1" w:rsidRPr="003D7BE7" w:rsidSect="00480C09">
          <w:type w:val="continuous"/>
          <w:pgSz w:w="12240" w:h="15840" w:code="1"/>
          <w:pgMar w:top="1440" w:right="1170" w:bottom="1152" w:left="1440" w:header="576" w:footer="288" w:gutter="0"/>
          <w:cols w:num="2" w:space="720"/>
          <w:titlePg/>
          <w:docGrid w:linePitch="360"/>
        </w:sectPr>
      </w:pPr>
      <w:r w:rsidRPr="003D7BE7">
        <w:rPr>
          <w:rFonts w:ascii="Times New Roman" w:hAnsi="Times New Roman"/>
          <w:color w:val="00548C"/>
          <w:sz w:val="24"/>
          <w:szCs w:val="24"/>
        </w:rPr>
        <w:t>Reference Number: CP.</w:t>
      </w:r>
      <w:r>
        <w:rPr>
          <w:rFonts w:ascii="Times New Roman" w:hAnsi="Times New Roman"/>
          <w:color w:val="00548C"/>
          <w:sz w:val="24"/>
          <w:szCs w:val="24"/>
        </w:rPr>
        <w:t>MP.</w:t>
      </w:r>
      <w:r w:rsidR="00B9140A">
        <w:rPr>
          <w:rFonts w:ascii="Times New Roman" w:hAnsi="Times New Roman"/>
          <w:color w:val="00548C"/>
          <w:sz w:val="24"/>
          <w:szCs w:val="24"/>
        </w:rPr>
        <w:t>1</w:t>
      </w:r>
      <w:r w:rsidR="00C66F40">
        <w:rPr>
          <w:rFonts w:ascii="Times New Roman" w:hAnsi="Times New Roman"/>
          <w:color w:val="00548C"/>
          <w:sz w:val="24"/>
          <w:szCs w:val="24"/>
        </w:rPr>
        <w:t>30</w:t>
      </w:r>
      <w:r>
        <w:rPr>
          <w:rFonts w:ascii="Times New Roman" w:hAnsi="Times New Roman"/>
          <w:color w:val="00548C"/>
          <w:sz w:val="24"/>
          <w:szCs w:val="24"/>
        </w:rPr>
        <w:t xml:space="preserve">  </w:t>
      </w:r>
      <w:r w:rsidRPr="003D7BE7">
        <w:rPr>
          <w:rFonts w:ascii="Times New Roman" w:hAnsi="Times New Roman"/>
          <w:color w:val="00548C"/>
          <w:sz w:val="24"/>
          <w:szCs w:val="24"/>
        </w:rPr>
        <w:tab/>
      </w:r>
      <w:r w:rsidRPr="003D7BE7">
        <w:rPr>
          <w:rFonts w:ascii="Times New Roman" w:hAnsi="Times New Roman"/>
          <w:color w:val="00548C"/>
          <w:sz w:val="24"/>
          <w:szCs w:val="24"/>
        </w:rPr>
        <w:tab/>
      </w:r>
      <w:r w:rsidRPr="003D7BE7">
        <w:rPr>
          <w:rFonts w:ascii="Times New Roman" w:hAnsi="Times New Roman"/>
          <w:color w:val="00548C"/>
          <w:sz w:val="24"/>
          <w:szCs w:val="24"/>
        </w:rPr>
        <w:tab/>
      </w:r>
      <w:r w:rsidRPr="003D7BE7">
        <w:rPr>
          <w:rFonts w:ascii="Times New Roman" w:hAnsi="Times New Roman"/>
          <w:color w:val="00548C"/>
          <w:sz w:val="24"/>
          <w:szCs w:val="24"/>
        </w:rPr>
        <w:tab/>
      </w:r>
      <w:r w:rsidRPr="003D7BE7">
        <w:rPr>
          <w:rFonts w:ascii="Times New Roman" w:hAnsi="Times New Roman"/>
          <w:color w:val="00548C"/>
          <w:sz w:val="24"/>
          <w:szCs w:val="24"/>
        </w:rPr>
        <w:tab/>
      </w:r>
      <w:r w:rsidRPr="003D7BE7">
        <w:rPr>
          <w:rFonts w:ascii="Times New Roman" w:hAnsi="Times New Roman"/>
          <w:color w:val="00548C"/>
          <w:sz w:val="24"/>
          <w:szCs w:val="24"/>
        </w:rPr>
        <w:tab/>
      </w:r>
      <w:r w:rsidR="00E430C1">
        <w:rPr>
          <w:rFonts w:ascii="Times New Roman" w:hAnsi="Times New Roman"/>
          <w:color w:val="00548C"/>
          <w:sz w:val="24"/>
          <w:szCs w:val="24"/>
        </w:rPr>
        <w:t xml:space="preserve">     </w:t>
      </w:r>
      <w:hyperlink w:anchor="Coding_Implications" w:history="1">
        <w:r w:rsidR="00E430C1" w:rsidRPr="00875924">
          <w:rPr>
            <w:rStyle w:val="Hyperlink"/>
            <w:rFonts w:ascii="Times New Roman" w:hAnsi="Times New Roman"/>
            <w:sz w:val="24"/>
            <w:szCs w:val="24"/>
          </w:rPr>
          <w:t>Coding Implications</w:t>
        </w:r>
      </w:hyperlink>
      <w:r w:rsidR="00E430C1" w:rsidRPr="003D7BE7">
        <w:rPr>
          <w:rFonts w:ascii="Times New Roman" w:hAnsi="Times New Roman"/>
          <w:color w:val="00548C"/>
          <w:sz w:val="24"/>
          <w:szCs w:val="24"/>
        </w:rPr>
        <w:t xml:space="preserve"> </w:t>
      </w:r>
    </w:p>
    <w:p w14:paraId="38BC1804" w14:textId="1908947A" w:rsidR="00E430C1" w:rsidRDefault="00E430C1" w:rsidP="00E430C1">
      <w:pPr>
        <w:pStyle w:val="PolicyMainHead"/>
        <w:tabs>
          <w:tab w:val="left" w:pos="360"/>
        </w:tabs>
        <w:spacing w:after="0" w:line="240" w:lineRule="auto"/>
        <w:rPr>
          <w:rFonts w:ascii="Times New Roman" w:hAnsi="Times New Roman"/>
          <w:color w:val="00548C"/>
          <w:sz w:val="24"/>
          <w:szCs w:val="24"/>
        </w:rPr>
      </w:pPr>
      <w:r w:rsidRPr="003D7BE7">
        <w:rPr>
          <w:rFonts w:ascii="Times New Roman" w:hAnsi="Times New Roman"/>
          <w:color w:val="00548C"/>
          <w:sz w:val="24"/>
          <w:szCs w:val="24"/>
        </w:rPr>
        <w:t xml:space="preserve">Last Review Date: </w:t>
      </w:r>
      <w:r w:rsidR="001E54F8">
        <w:rPr>
          <w:rFonts w:ascii="Times New Roman" w:hAnsi="Times New Roman"/>
          <w:color w:val="00548C"/>
          <w:sz w:val="24"/>
          <w:szCs w:val="24"/>
        </w:rPr>
        <w:t>0</w:t>
      </w:r>
      <w:r w:rsidR="00E80D2D">
        <w:rPr>
          <w:rFonts w:ascii="Times New Roman" w:hAnsi="Times New Roman"/>
          <w:color w:val="00548C"/>
          <w:sz w:val="24"/>
          <w:szCs w:val="24"/>
        </w:rPr>
        <w:t>9</w:t>
      </w:r>
      <w:r w:rsidR="001E54F8">
        <w:rPr>
          <w:rFonts w:ascii="Times New Roman" w:hAnsi="Times New Roman"/>
          <w:color w:val="00548C"/>
          <w:sz w:val="24"/>
          <w:szCs w:val="24"/>
        </w:rPr>
        <w:t>/19</w:t>
      </w:r>
    </w:p>
    <w:p w14:paraId="22F2175D" w14:textId="77777777" w:rsidR="00E430C1" w:rsidRDefault="00F5353E" w:rsidP="00E430C1">
      <w:pPr>
        <w:pStyle w:val="PolicyMainHead"/>
        <w:tabs>
          <w:tab w:val="left" w:pos="360"/>
        </w:tabs>
        <w:spacing w:after="0" w:line="240" w:lineRule="auto"/>
        <w:jc w:val="right"/>
        <w:rPr>
          <w:rStyle w:val="Strong"/>
          <w:rFonts w:ascii="Times New Roman" w:hAnsi="Times New Roman"/>
          <w:b w:val="0"/>
          <w:u w:val="single"/>
        </w:rPr>
        <w:sectPr w:rsidR="00E430C1" w:rsidSect="00875924">
          <w:type w:val="continuous"/>
          <w:pgSz w:w="12240" w:h="15840" w:code="1"/>
          <w:pgMar w:top="1440" w:right="1170" w:bottom="1440" w:left="1440" w:header="576" w:footer="288" w:gutter="0"/>
          <w:cols w:num="2" w:space="720"/>
          <w:titlePg/>
          <w:docGrid w:linePitch="360"/>
        </w:sectPr>
      </w:pPr>
      <w:hyperlink w:anchor="Revision_Log" w:history="1">
        <w:r w:rsidR="00E430C1" w:rsidRPr="003D7BE7">
          <w:rPr>
            <w:rStyle w:val="Hyperlink"/>
            <w:rFonts w:ascii="Times New Roman" w:hAnsi="Times New Roman"/>
            <w:sz w:val="24"/>
            <w:szCs w:val="24"/>
          </w:rPr>
          <w:t>Revision Log</w:t>
        </w:r>
      </w:hyperlink>
      <w:r w:rsidR="00E430C1">
        <w:rPr>
          <w:rFonts w:ascii="Times New Roman" w:hAnsi="Times New Roman"/>
          <w:color w:val="00548C"/>
          <w:sz w:val="24"/>
          <w:szCs w:val="24"/>
        </w:rPr>
        <w:t xml:space="preserve"> </w:t>
      </w:r>
    </w:p>
    <w:p w14:paraId="54EF5814" w14:textId="77777777" w:rsidR="009A1963" w:rsidRPr="003D7BE7" w:rsidRDefault="009A1963" w:rsidP="00480C09">
      <w:pPr>
        <w:pStyle w:val="PolicyMainHead"/>
        <w:spacing w:after="0" w:line="240" w:lineRule="auto"/>
        <w:ind w:left="360"/>
        <w:rPr>
          <w:rFonts w:ascii="Times New Roman" w:hAnsi="Times New Roman"/>
          <w:color w:val="00548C"/>
          <w:sz w:val="24"/>
          <w:szCs w:val="24"/>
        </w:rPr>
        <w:sectPr w:rsidR="009A1963" w:rsidRPr="003D7BE7" w:rsidSect="00480C09">
          <w:type w:val="continuous"/>
          <w:pgSz w:w="12240" w:h="15840" w:code="1"/>
          <w:pgMar w:top="1440" w:right="1080" w:bottom="1440" w:left="1080" w:header="576" w:footer="288" w:gutter="0"/>
          <w:cols w:num="2" w:space="720"/>
          <w:titlePg/>
          <w:docGrid w:linePitch="360"/>
        </w:sectPr>
      </w:pPr>
    </w:p>
    <w:p w14:paraId="5FEE8416" w14:textId="7C405620" w:rsidR="009A1963" w:rsidRPr="00E430C1" w:rsidRDefault="009A1963" w:rsidP="00E430C1">
      <w:pPr>
        <w:pStyle w:val="NormalWeb"/>
        <w:tabs>
          <w:tab w:val="left" w:pos="975"/>
        </w:tabs>
        <w:spacing w:before="0" w:beforeAutospacing="0" w:after="0" w:afterAutospacing="0"/>
        <w:rPr>
          <w:rStyle w:val="Strong"/>
          <w:rFonts w:ascii="Times New Roman" w:hAnsi="Times New Roman"/>
          <w:b w:val="0"/>
        </w:rPr>
      </w:pPr>
      <w:r w:rsidRPr="005D7B81">
        <w:rPr>
          <w:rFonts w:ascii="Times New Roman" w:hAnsi="Times New Roman" w:cs="Times New Roman"/>
          <w:b/>
          <w:color w:val="00548C"/>
        </w:rPr>
        <w:t xml:space="preserve">See </w:t>
      </w:r>
      <w:hyperlink w:anchor="Important_Reminder" w:history="1">
        <w:r w:rsidRPr="005D7B81">
          <w:rPr>
            <w:rStyle w:val="Hyperlink"/>
            <w:rFonts w:ascii="Times New Roman" w:hAnsi="Times New Roman"/>
            <w:noProof/>
          </w:rPr>
          <w:t>Important Reminder</w:t>
        </w:r>
      </w:hyperlink>
      <w:r w:rsidRPr="005D7B81">
        <w:rPr>
          <w:rFonts w:ascii="Times New Roman" w:hAnsi="Times New Roman" w:cs="Times New Roman"/>
          <w:b/>
          <w:color w:val="00548C"/>
        </w:rPr>
        <w:t xml:space="preserve"> at the end of th</w:t>
      </w:r>
      <w:r>
        <w:rPr>
          <w:rFonts w:ascii="Times New Roman" w:hAnsi="Times New Roman" w:cs="Times New Roman"/>
          <w:b/>
          <w:color w:val="00548C"/>
        </w:rPr>
        <w:t>is</w:t>
      </w:r>
      <w:r w:rsidRPr="005D7B81">
        <w:rPr>
          <w:rFonts w:ascii="Times New Roman" w:hAnsi="Times New Roman" w:cs="Times New Roman"/>
          <w:b/>
          <w:color w:val="00548C"/>
        </w:rPr>
        <w:t xml:space="preserve"> policy for</w:t>
      </w:r>
      <w:r>
        <w:rPr>
          <w:rFonts w:ascii="Times New Roman" w:hAnsi="Times New Roman" w:cs="Times New Roman"/>
          <w:b/>
          <w:color w:val="00548C"/>
        </w:rPr>
        <w:t xml:space="preserve"> important</w:t>
      </w:r>
      <w:r w:rsidRPr="005D7B81">
        <w:rPr>
          <w:rFonts w:ascii="Times New Roman" w:hAnsi="Times New Roman" w:cs="Times New Roman"/>
          <w:b/>
          <w:color w:val="00548C"/>
        </w:rPr>
        <w:t xml:space="preserve"> regulatory and legal information</w:t>
      </w:r>
      <w:r>
        <w:rPr>
          <w:rFonts w:ascii="Times New Roman" w:hAnsi="Times New Roman" w:cs="Times New Roman"/>
          <w:b/>
          <w:color w:val="00548C"/>
        </w:rPr>
        <w:t>.</w:t>
      </w:r>
    </w:p>
    <w:p w14:paraId="5C4E19D4" w14:textId="77777777" w:rsidR="009A1963" w:rsidRDefault="009A1963" w:rsidP="00875924">
      <w:pPr>
        <w:pStyle w:val="NormalWeb"/>
        <w:spacing w:before="0" w:beforeAutospacing="0" w:after="0" w:afterAutospacing="0"/>
        <w:jc w:val="center"/>
        <w:rPr>
          <w:rStyle w:val="Strong"/>
          <w:rFonts w:ascii="Times New Roman" w:hAnsi="Times New Roman"/>
          <w:b w:val="0"/>
          <w:u w:val="single"/>
        </w:rPr>
      </w:pPr>
    </w:p>
    <w:p w14:paraId="3B41D20D" w14:textId="77777777" w:rsidR="009A1963" w:rsidRPr="00571B94" w:rsidRDefault="009A1963" w:rsidP="00571B94">
      <w:pPr>
        <w:pStyle w:val="Heading1"/>
        <w:rPr>
          <w:sz w:val="24"/>
        </w:rPr>
      </w:pPr>
      <w:r w:rsidRPr="00571B94">
        <w:rPr>
          <w:sz w:val="24"/>
        </w:rPr>
        <w:t xml:space="preserve">Description </w:t>
      </w:r>
    </w:p>
    <w:p w14:paraId="6724161C" w14:textId="613E995F" w:rsidR="009A1963" w:rsidRDefault="009A1963" w:rsidP="00196935">
      <w:r w:rsidRPr="00C71560">
        <w:t xml:space="preserve">Male and female fertility may be transiently or permanently affected by </w:t>
      </w:r>
      <w:r w:rsidR="00D750F7">
        <w:t>medical</w:t>
      </w:r>
      <w:r w:rsidR="00D750F7" w:rsidRPr="00C71560">
        <w:t xml:space="preserve"> </w:t>
      </w:r>
      <w:r w:rsidRPr="00C71560">
        <w:t>treatment</w:t>
      </w:r>
      <w:r>
        <w:t>s such as g</w:t>
      </w:r>
      <w:r w:rsidRPr="00C71560">
        <w:t>onadotoxic</w:t>
      </w:r>
      <w:r w:rsidR="00DD35FA">
        <w:t xml:space="preserve"> therapy</w:t>
      </w:r>
      <w:r w:rsidR="00CE00C5">
        <w:t>,</w:t>
      </w:r>
      <w:r w:rsidRPr="00C71560">
        <w:t xml:space="preserve"> cytotoxic chemotherapy</w:t>
      </w:r>
      <w:r w:rsidR="00D750F7">
        <w:t>,</w:t>
      </w:r>
      <w:r w:rsidRPr="00C71560">
        <w:t xml:space="preserve"> or </w:t>
      </w:r>
      <w:r>
        <w:t>radiation therap</w:t>
      </w:r>
      <w:r w:rsidRPr="00C71560">
        <w:t>y</w:t>
      </w:r>
      <w:r w:rsidR="00342B0B">
        <w:t>, as well as by other iatrogenic causes.</w:t>
      </w:r>
      <w:r>
        <w:t xml:space="preserve"> </w:t>
      </w:r>
      <w:r w:rsidR="001E54F8">
        <w:t xml:space="preserve"> </w:t>
      </w:r>
      <w:r w:rsidRPr="00C71560">
        <w:t xml:space="preserve">Rates of permanent infertility and compromised fertility after </w:t>
      </w:r>
      <w:r w:rsidR="00342B0B">
        <w:t>medical</w:t>
      </w:r>
      <w:r w:rsidR="00342B0B" w:rsidRPr="00C71560">
        <w:t xml:space="preserve"> </w:t>
      </w:r>
      <w:r w:rsidRPr="00C71560">
        <w:t>treatment vary and depend on many factors</w:t>
      </w:r>
      <w:r w:rsidR="00CE00C5">
        <w:t>,</w:t>
      </w:r>
      <w:r w:rsidRPr="00C71560">
        <w:t xml:space="preserve"> including the drug</w:t>
      </w:r>
      <w:r w:rsidR="00342B0B">
        <w:t>,</w:t>
      </w:r>
      <w:r w:rsidRPr="00C71560">
        <w:t xml:space="preserve"> size</w:t>
      </w:r>
      <w:r w:rsidR="00342B0B">
        <w:t xml:space="preserve"> and </w:t>
      </w:r>
      <w:r w:rsidRPr="00C71560">
        <w:t>location of the radiation field</w:t>
      </w:r>
      <w:r w:rsidR="00342B0B">
        <w:t xml:space="preserve"> if applicable</w:t>
      </w:r>
      <w:r w:rsidRPr="00C71560">
        <w:t>, dose, dose-intensity, method of administration (oral versus intravenous), disease, age, treatment type and dosages, and pretreatment fertility</w:t>
      </w:r>
      <w:r>
        <w:t xml:space="preserve">. </w:t>
      </w:r>
    </w:p>
    <w:p w14:paraId="6E7124C2" w14:textId="77777777" w:rsidR="009A1963" w:rsidRPr="00B777AF" w:rsidRDefault="009A1963" w:rsidP="00196935"/>
    <w:p w14:paraId="059C1899" w14:textId="77777777" w:rsidR="009A1963" w:rsidRPr="00B777AF" w:rsidRDefault="009A1963">
      <w:pPr>
        <w:pStyle w:val="Heading2"/>
        <w:rPr>
          <w:u w:val="none"/>
        </w:rPr>
      </w:pPr>
      <w:r w:rsidRPr="00B777AF">
        <w:rPr>
          <w:u w:val="none"/>
        </w:rPr>
        <w:t>Policy/Criteria</w:t>
      </w:r>
    </w:p>
    <w:p w14:paraId="50684B45" w14:textId="6C84C682" w:rsidR="009A1963" w:rsidRDefault="009A1963" w:rsidP="00E43F1B">
      <w:pPr>
        <w:numPr>
          <w:ilvl w:val="0"/>
          <w:numId w:val="11"/>
        </w:numPr>
        <w:ind w:left="360"/>
      </w:pPr>
      <w:r>
        <w:rPr>
          <w:bCs/>
          <w:color w:val="000000"/>
        </w:rPr>
        <w:t>It is the policy of health plans affiliated with Centene Corporation</w:t>
      </w:r>
      <w:r w:rsidRPr="00C75BD4">
        <w:rPr>
          <w:bCs/>
          <w:color w:val="000000"/>
          <w:vertAlign w:val="superscript"/>
        </w:rPr>
        <w:t>®</w:t>
      </w:r>
      <w:r>
        <w:rPr>
          <w:bCs/>
          <w:color w:val="000000"/>
        </w:rPr>
        <w:t xml:space="preserve"> </w:t>
      </w:r>
      <w:r w:rsidR="009012B2">
        <w:rPr>
          <w:bCs/>
          <w:color w:val="000000"/>
        </w:rPr>
        <w:t xml:space="preserve">that, </w:t>
      </w:r>
      <w:r w:rsidR="009012B2" w:rsidRPr="009012B2">
        <w:rPr>
          <w:color w:val="000000"/>
        </w:rPr>
        <w:t>when a covered benefit under the member’s benefit plan contract</w:t>
      </w:r>
      <w:r w:rsidR="009012B2">
        <w:rPr>
          <w:color w:val="000000"/>
        </w:rPr>
        <w:t>,</w:t>
      </w:r>
      <w:r>
        <w:t xml:space="preserve"> any</w:t>
      </w:r>
      <w:r w:rsidR="00DD35FA">
        <w:t xml:space="preserve"> of</w:t>
      </w:r>
      <w:r>
        <w:t xml:space="preserve"> </w:t>
      </w:r>
      <w:r w:rsidRPr="003765C1">
        <w:t xml:space="preserve">the following procedures </w:t>
      </w:r>
      <w:r>
        <w:t xml:space="preserve">are </w:t>
      </w:r>
      <w:r w:rsidRPr="003765C1">
        <w:rPr>
          <w:b/>
        </w:rPr>
        <w:t>medically necessary</w:t>
      </w:r>
      <w:r w:rsidRPr="003765C1">
        <w:t xml:space="preserve"> for women and adolescent girls prior to commencing treatment that is likely to </w:t>
      </w:r>
      <w:r w:rsidR="009A7F99">
        <w:t>cause in</w:t>
      </w:r>
      <w:r w:rsidRPr="003765C1">
        <w:t>fertility</w:t>
      </w:r>
      <w:r w:rsidR="00DD35FA">
        <w:t xml:space="preserve"> (excluding voluntary sterilization)</w:t>
      </w:r>
      <w:r w:rsidRPr="003765C1">
        <w:t>:</w:t>
      </w:r>
    </w:p>
    <w:p w14:paraId="4C1C7DEB" w14:textId="77777777" w:rsidR="009A1963" w:rsidRDefault="009A1963" w:rsidP="003F3D44">
      <w:pPr>
        <w:numPr>
          <w:ilvl w:val="1"/>
          <w:numId w:val="11"/>
        </w:numPr>
        <w:ind w:left="720"/>
      </w:pPr>
      <w:r>
        <w:t>E</w:t>
      </w:r>
      <w:r w:rsidRPr="00E43F1B">
        <w:t>mbryo cryopreservation</w:t>
      </w:r>
      <w:r w:rsidR="001F55CC">
        <w:t>;</w:t>
      </w:r>
    </w:p>
    <w:p w14:paraId="7C1770C4" w14:textId="19F2A359" w:rsidR="009A1963" w:rsidRDefault="009A1963" w:rsidP="00E43F1B">
      <w:pPr>
        <w:numPr>
          <w:ilvl w:val="1"/>
          <w:numId w:val="11"/>
        </w:numPr>
        <w:ind w:left="720"/>
      </w:pPr>
      <w:r w:rsidRPr="00C92E77">
        <w:t xml:space="preserve">Cryopreservation of </w:t>
      </w:r>
      <w:r w:rsidR="006E05F4">
        <w:t>mature</w:t>
      </w:r>
      <w:r w:rsidRPr="00C92E77">
        <w:t xml:space="preserve"> oocytes</w:t>
      </w:r>
      <w:r>
        <w:t>;</w:t>
      </w:r>
      <w:r w:rsidRPr="00C92E77">
        <w:t xml:space="preserve"> </w:t>
      </w:r>
    </w:p>
    <w:p w14:paraId="2A4E0B96" w14:textId="77777777" w:rsidR="009A1963" w:rsidRDefault="009A1963" w:rsidP="00E43F1B">
      <w:pPr>
        <w:numPr>
          <w:ilvl w:val="1"/>
          <w:numId w:val="11"/>
        </w:numPr>
        <w:ind w:left="720"/>
      </w:pPr>
      <w:r>
        <w:t>O</w:t>
      </w:r>
      <w:r w:rsidRPr="00E43F1B">
        <w:t>varian transposition</w:t>
      </w:r>
      <w:r>
        <w:t xml:space="preserve"> (</w:t>
      </w:r>
      <w:r w:rsidRPr="003258AE">
        <w:t>oophoropexy</w:t>
      </w:r>
      <w:r>
        <w:t>);</w:t>
      </w:r>
    </w:p>
    <w:p w14:paraId="0F1F410D" w14:textId="77777777" w:rsidR="009A1963" w:rsidRPr="00215402" w:rsidRDefault="009A1963" w:rsidP="00E43F1B">
      <w:pPr>
        <w:numPr>
          <w:ilvl w:val="1"/>
          <w:numId w:val="11"/>
        </w:numPr>
        <w:ind w:left="720"/>
      </w:pPr>
      <w:r w:rsidRPr="00215402">
        <w:t>Radiation (gonadal) shielding;</w:t>
      </w:r>
    </w:p>
    <w:p w14:paraId="3D0F551B" w14:textId="77777777" w:rsidR="009A1963" w:rsidRDefault="009A1963" w:rsidP="00C92E77">
      <w:pPr>
        <w:numPr>
          <w:ilvl w:val="1"/>
          <w:numId w:val="11"/>
        </w:numPr>
        <w:ind w:left="720"/>
      </w:pPr>
      <w:r w:rsidRPr="00E43F1B">
        <w:t xml:space="preserve">Conservative gynecologic surgery </w:t>
      </w:r>
      <w:r>
        <w:t>including but not limited to the following:</w:t>
      </w:r>
    </w:p>
    <w:p w14:paraId="1040CE4B" w14:textId="77777777" w:rsidR="009A1963" w:rsidRDefault="009A1963" w:rsidP="006536F9">
      <w:pPr>
        <w:numPr>
          <w:ilvl w:val="2"/>
          <w:numId w:val="26"/>
        </w:numPr>
        <w:ind w:left="1080" w:hanging="360"/>
      </w:pPr>
      <w:r>
        <w:t xml:space="preserve">Radical trachelectomy </w:t>
      </w:r>
      <w:r w:rsidRPr="00E43F1B">
        <w:t>in early stage cervical cancer</w:t>
      </w:r>
      <w:r>
        <w:t xml:space="preserve"> (i.e., </w:t>
      </w:r>
      <w:r w:rsidRPr="00E43F1B">
        <w:t xml:space="preserve">stage IA2 to IB cervical </w:t>
      </w:r>
      <w:r>
        <w:t xml:space="preserve">      </w:t>
      </w:r>
      <w:r w:rsidRPr="00C92E77">
        <w:t>cancer with diameter &lt;2 cm and invasion &lt;10 mm);</w:t>
      </w:r>
    </w:p>
    <w:p w14:paraId="2136D2CA" w14:textId="77777777" w:rsidR="009A1963" w:rsidRPr="00B32B38" w:rsidRDefault="009A1963" w:rsidP="006536F9">
      <w:pPr>
        <w:numPr>
          <w:ilvl w:val="0"/>
          <w:numId w:val="26"/>
        </w:numPr>
        <w:ind w:left="1080"/>
      </w:pPr>
      <w:r w:rsidRPr="00B32B38">
        <w:t>Ovarian cystectomy</w:t>
      </w:r>
      <w:r>
        <w:t xml:space="preserve"> for </w:t>
      </w:r>
      <w:r w:rsidRPr="00B32B38">
        <w:t>early-stage ovarian cancer</w:t>
      </w:r>
      <w:r>
        <w:t>.</w:t>
      </w:r>
    </w:p>
    <w:p w14:paraId="4F41440F" w14:textId="77777777" w:rsidR="009A1963" w:rsidRDefault="009A1963" w:rsidP="006536F9">
      <w:pPr>
        <w:ind w:left="360" w:hanging="360"/>
      </w:pPr>
    </w:p>
    <w:p w14:paraId="15DCC187" w14:textId="7B4988C4" w:rsidR="009A1963" w:rsidRPr="006536F9" w:rsidRDefault="009A1963" w:rsidP="006536F9">
      <w:pPr>
        <w:numPr>
          <w:ilvl w:val="0"/>
          <w:numId w:val="11"/>
        </w:numPr>
        <w:ind w:left="360"/>
        <w:rPr>
          <w:bCs/>
          <w:color w:val="000000"/>
        </w:rPr>
      </w:pPr>
      <w:r w:rsidRPr="006536F9">
        <w:rPr>
          <w:bCs/>
          <w:color w:val="000000"/>
        </w:rPr>
        <w:t>It is the policy of health plans affiliated with Centene Corporation that</w:t>
      </w:r>
      <w:r w:rsidR="009012B2">
        <w:rPr>
          <w:bCs/>
          <w:color w:val="000000"/>
        </w:rPr>
        <w:t>,</w:t>
      </w:r>
      <w:r w:rsidRPr="006536F9">
        <w:rPr>
          <w:bCs/>
          <w:color w:val="000000"/>
        </w:rPr>
        <w:t xml:space="preserve"> </w:t>
      </w:r>
      <w:r w:rsidR="009012B2" w:rsidRPr="009012B2">
        <w:rPr>
          <w:color w:val="000000"/>
        </w:rPr>
        <w:t>when a covered benefit under the member’s benefit plan contract</w:t>
      </w:r>
      <w:r w:rsidR="009012B2">
        <w:rPr>
          <w:color w:val="000000"/>
        </w:rPr>
        <w:t>,</w:t>
      </w:r>
      <w:r w:rsidR="009012B2">
        <w:t xml:space="preserve"> </w:t>
      </w:r>
      <w:r w:rsidRPr="006536F9">
        <w:rPr>
          <w:bCs/>
          <w:color w:val="000000"/>
        </w:rPr>
        <w:t xml:space="preserve">the following  procedures are </w:t>
      </w:r>
      <w:r w:rsidRPr="00F62A7A">
        <w:rPr>
          <w:b/>
          <w:bCs/>
          <w:color w:val="000000"/>
        </w:rPr>
        <w:t>medically necessary</w:t>
      </w:r>
      <w:r w:rsidRPr="006536F9">
        <w:rPr>
          <w:bCs/>
          <w:color w:val="000000"/>
        </w:rPr>
        <w:t xml:space="preserve"> for men and adolescent boys prior to commencing treatment that is likely to </w:t>
      </w:r>
      <w:r w:rsidR="009A7F99">
        <w:rPr>
          <w:bCs/>
          <w:color w:val="000000"/>
        </w:rPr>
        <w:t>cause in</w:t>
      </w:r>
      <w:r w:rsidRPr="006536F9">
        <w:rPr>
          <w:bCs/>
          <w:color w:val="000000"/>
        </w:rPr>
        <w:t>fertility</w:t>
      </w:r>
      <w:r w:rsidR="00DD35FA">
        <w:rPr>
          <w:bCs/>
          <w:color w:val="000000"/>
        </w:rPr>
        <w:t xml:space="preserve"> </w:t>
      </w:r>
      <w:r w:rsidR="00DD35FA">
        <w:t>(excluding voluntary sterilization)</w:t>
      </w:r>
      <w:r w:rsidRPr="006536F9">
        <w:rPr>
          <w:bCs/>
          <w:color w:val="000000"/>
        </w:rPr>
        <w:t>:</w:t>
      </w:r>
    </w:p>
    <w:p w14:paraId="50F915DC" w14:textId="77777777" w:rsidR="009A1963" w:rsidRPr="006536F9" w:rsidRDefault="009A1963" w:rsidP="006536F9">
      <w:pPr>
        <w:numPr>
          <w:ilvl w:val="1"/>
          <w:numId w:val="11"/>
        </w:numPr>
        <w:ind w:left="720"/>
      </w:pPr>
      <w:r w:rsidRPr="006536F9">
        <w:t>Cryopreservation of sperm</w:t>
      </w:r>
      <w:r w:rsidR="001228E7">
        <w:t>;</w:t>
      </w:r>
    </w:p>
    <w:p w14:paraId="7EC86D23" w14:textId="77777777" w:rsidR="009A1963" w:rsidRPr="00215402" w:rsidRDefault="009A1963" w:rsidP="006536F9">
      <w:pPr>
        <w:numPr>
          <w:ilvl w:val="1"/>
          <w:numId w:val="11"/>
        </w:numPr>
        <w:ind w:left="720"/>
        <w:rPr>
          <w:bCs/>
        </w:rPr>
      </w:pPr>
      <w:r w:rsidRPr="006536F9">
        <w:t>Radiation</w:t>
      </w:r>
      <w:r w:rsidRPr="00215402">
        <w:rPr>
          <w:bCs/>
        </w:rPr>
        <w:t xml:space="preserve"> (gonadal) shielding</w:t>
      </w:r>
      <w:r w:rsidR="001228E7">
        <w:rPr>
          <w:bCs/>
        </w:rPr>
        <w:t>.</w:t>
      </w:r>
    </w:p>
    <w:p w14:paraId="6A0FDE35" w14:textId="77777777" w:rsidR="009A1963" w:rsidRDefault="009A1963" w:rsidP="002B6CBD">
      <w:pPr>
        <w:rPr>
          <w:bCs/>
          <w:color w:val="FF0000"/>
        </w:rPr>
      </w:pPr>
    </w:p>
    <w:p w14:paraId="7DCC9940" w14:textId="77777777" w:rsidR="009A1963" w:rsidRPr="006536F9" w:rsidRDefault="009A1963" w:rsidP="006536F9">
      <w:pPr>
        <w:numPr>
          <w:ilvl w:val="0"/>
          <w:numId w:val="11"/>
        </w:numPr>
        <w:ind w:left="360"/>
        <w:rPr>
          <w:bCs/>
          <w:color w:val="000000"/>
        </w:rPr>
      </w:pPr>
      <w:r w:rsidRPr="006536F9">
        <w:rPr>
          <w:bCs/>
          <w:color w:val="000000"/>
        </w:rPr>
        <w:t xml:space="preserve">It is the policy of health plans affiliated with Centene Corporation that the following procedures for women and adolescent girls prior to commencing treatment that is likely to   affect fertility are considered </w:t>
      </w:r>
      <w:r w:rsidRPr="00764CC1">
        <w:rPr>
          <w:b/>
          <w:bCs/>
          <w:color w:val="000000"/>
        </w:rPr>
        <w:t>investigational</w:t>
      </w:r>
      <w:r w:rsidRPr="006536F9">
        <w:rPr>
          <w:bCs/>
          <w:color w:val="000000"/>
        </w:rPr>
        <w:t>:</w:t>
      </w:r>
    </w:p>
    <w:p w14:paraId="54C5E955" w14:textId="45B8D5A4" w:rsidR="00BC6C96" w:rsidRDefault="00BC6C96" w:rsidP="006536F9">
      <w:pPr>
        <w:numPr>
          <w:ilvl w:val="1"/>
          <w:numId w:val="11"/>
        </w:numPr>
        <w:ind w:left="720"/>
      </w:pPr>
      <w:r>
        <w:t>Cryopreservation of immature oocytes;</w:t>
      </w:r>
    </w:p>
    <w:p w14:paraId="2D203213" w14:textId="47954D07" w:rsidR="009A1963" w:rsidRDefault="009A1963" w:rsidP="006536F9">
      <w:pPr>
        <w:numPr>
          <w:ilvl w:val="1"/>
          <w:numId w:val="11"/>
        </w:numPr>
        <w:ind w:left="720"/>
      </w:pPr>
      <w:r>
        <w:t xml:space="preserve">Ovarian tissue cryopreservation and transplantation procedures; </w:t>
      </w:r>
    </w:p>
    <w:p w14:paraId="472DC643" w14:textId="71D57F97" w:rsidR="009A1963" w:rsidRDefault="009A1963" w:rsidP="006536F9">
      <w:pPr>
        <w:numPr>
          <w:ilvl w:val="1"/>
          <w:numId w:val="11"/>
        </w:numPr>
        <w:ind w:left="720"/>
      </w:pPr>
      <w:r>
        <w:t xml:space="preserve">Ovarian suppression with gonadotropin releasing hormone </w:t>
      </w:r>
      <w:r w:rsidR="00FD36F2">
        <w:t xml:space="preserve">(GnRHa) </w:t>
      </w:r>
      <w:r>
        <w:t>or antagonists</w:t>
      </w:r>
      <w:r w:rsidR="001228E7">
        <w:t>.</w:t>
      </w:r>
    </w:p>
    <w:p w14:paraId="421BDD7E" w14:textId="77777777" w:rsidR="009A1963" w:rsidRDefault="009A1963" w:rsidP="002B6CBD">
      <w:pPr>
        <w:rPr>
          <w:bCs/>
          <w:color w:val="000000"/>
        </w:rPr>
      </w:pPr>
    </w:p>
    <w:p w14:paraId="420D0CDB" w14:textId="77777777" w:rsidR="009A1963" w:rsidRPr="006536F9" w:rsidRDefault="009A1963" w:rsidP="006536F9">
      <w:pPr>
        <w:numPr>
          <w:ilvl w:val="0"/>
          <w:numId w:val="11"/>
        </w:numPr>
        <w:ind w:left="360"/>
        <w:rPr>
          <w:bCs/>
          <w:color w:val="000000"/>
        </w:rPr>
      </w:pPr>
      <w:r>
        <w:rPr>
          <w:bCs/>
          <w:color w:val="000000"/>
        </w:rPr>
        <w:t>It</w:t>
      </w:r>
      <w:r w:rsidRPr="002B6CBD">
        <w:rPr>
          <w:bCs/>
          <w:color w:val="000000"/>
        </w:rPr>
        <w:t xml:space="preserve"> is the policy of health plans affiliated with Centene Corporation that the following</w:t>
      </w:r>
      <w:r w:rsidR="006536F9">
        <w:rPr>
          <w:bCs/>
          <w:color w:val="000000"/>
        </w:rPr>
        <w:t xml:space="preserve"> </w:t>
      </w:r>
      <w:r w:rsidRPr="006536F9">
        <w:rPr>
          <w:bCs/>
          <w:color w:val="000000"/>
        </w:rPr>
        <w:t xml:space="preserve">procedures for men and adolescent boys prior to commencing treatment that is likely to affect fertility are considered </w:t>
      </w:r>
      <w:r w:rsidRPr="00764CC1">
        <w:rPr>
          <w:b/>
          <w:bCs/>
          <w:color w:val="000000"/>
        </w:rPr>
        <w:t>investigational</w:t>
      </w:r>
      <w:r w:rsidRPr="006536F9">
        <w:rPr>
          <w:bCs/>
          <w:color w:val="000000"/>
        </w:rPr>
        <w:t>:</w:t>
      </w:r>
    </w:p>
    <w:p w14:paraId="09B2FE7C" w14:textId="6C57CEFB" w:rsidR="009A1963" w:rsidRPr="006536F9" w:rsidRDefault="009A1963" w:rsidP="006536F9">
      <w:pPr>
        <w:numPr>
          <w:ilvl w:val="1"/>
          <w:numId w:val="11"/>
        </w:numPr>
        <w:ind w:left="720"/>
      </w:pPr>
      <w:r w:rsidRPr="006536F9">
        <w:t xml:space="preserve">Testicular suppression with </w:t>
      </w:r>
      <w:r w:rsidR="006536F9" w:rsidRPr="006536F9">
        <w:t>GnRH</w:t>
      </w:r>
      <w:r w:rsidR="00BF11F3">
        <w:t>a</w:t>
      </w:r>
      <w:r w:rsidR="006536F9" w:rsidRPr="006536F9">
        <w:t xml:space="preserve"> or </w:t>
      </w:r>
      <w:r w:rsidRPr="006536F9">
        <w:t>antagonists</w:t>
      </w:r>
      <w:r w:rsidR="001228E7">
        <w:t>;</w:t>
      </w:r>
    </w:p>
    <w:p w14:paraId="32D9951E" w14:textId="77777777" w:rsidR="009A1963" w:rsidRPr="006536F9" w:rsidRDefault="009A1963" w:rsidP="006536F9">
      <w:pPr>
        <w:numPr>
          <w:ilvl w:val="1"/>
          <w:numId w:val="11"/>
        </w:numPr>
        <w:ind w:left="720"/>
      </w:pPr>
      <w:r w:rsidRPr="006536F9">
        <w:lastRenderedPageBreak/>
        <w:t>Testicular tissue or sp</w:t>
      </w:r>
      <w:r w:rsidR="001F55CC">
        <w:t>ermatogonial cryopreservation</w:t>
      </w:r>
      <w:r w:rsidR="001228E7">
        <w:t>;</w:t>
      </w:r>
    </w:p>
    <w:p w14:paraId="603A70F8" w14:textId="77777777" w:rsidR="009A1963" w:rsidRDefault="009A1963" w:rsidP="006536F9">
      <w:pPr>
        <w:numPr>
          <w:ilvl w:val="1"/>
          <w:numId w:val="11"/>
        </w:numPr>
        <w:ind w:left="720"/>
      </w:pPr>
      <w:r w:rsidRPr="006536F9">
        <w:t>Reimplantation or graf</w:t>
      </w:r>
      <w:r w:rsidR="001228E7">
        <w:t>ting of human testicular tissue.</w:t>
      </w:r>
    </w:p>
    <w:p w14:paraId="7DAA4ED3" w14:textId="77777777" w:rsidR="009A1963" w:rsidRDefault="009A1963" w:rsidP="00C71560">
      <w:pPr>
        <w:rPr>
          <w:bCs/>
          <w:color w:val="FF0000"/>
        </w:rPr>
      </w:pPr>
    </w:p>
    <w:p w14:paraId="099EE0ED" w14:textId="77777777" w:rsidR="009A1963" w:rsidRDefault="009A1963" w:rsidP="00C71560">
      <w:pPr>
        <w:pStyle w:val="Heading2"/>
        <w:rPr>
          <w:u w:val="none"/>
        </w:rPr>
      </w:pPr>
      <w:r w:rsidRPr="00B777AF">
        <w:rPr>
          <w:u w:val="none"/>
        </w:rPr>
        <w:t>Background</w:t>
      </w:r>
    </w:p>
    <w:p w14:paraId="2F27A9B5" w14:textId="6DEE368B" w:rsidR="009A1963" w:rsidRPr="00A956F8" w:rsidRDefault="009A1963" w:rsidP="00C71560">
      <w:pPr>
        <w:rPr>
          <w:bCs/>
        </w:rPr>
      </w:pPr>
      <w:r w:rsidRPr="00A956F8">
        <w:rPr>
          <w:bCs/>
        </w:rPr>
        <w:t xml:space="preserve">The most frequent cause of impaired fertility in male cancer survivors is chemotherapy or radiation-induced damage to sperm. </w:t>
      </w:r>
      <w:r w:rsidR="001E54F8">
        <w:rPr>
          <w:bCs/>
        </w:rPr>
        <w:t xml:space="preserve"> </w:t>
      </w:r>
      <w:r w:rsidRPr="00A956F8">
        <w:rPr>
          <w:bCs/>
        </w:rPr>
        <w:t xml:space="preserve">The fertility of female survivors may be impaired by any treatment that damages immature eggs, affects the body’s hormonal balance, or injures the reproductive organs.   </w:t>
      </w:r>
      <w:r>
        <w:rPr>
          <w:bCs/>
        </w:rPr>
        <w:t>Fertility preservation is an essential part of the management of adolescents and young adults who are at risk for infertility due to cancer treatments</w:t>
      </w:r>
      <w:r w:rsidR="00342B0B">
        <w:rPr>
          <w:bCs/>
        </w:rPr>
        <w:t xml:space="preserve">, or </w:t>
      </w:r>
      <w:r w:rsidR="00C11367">
        <w:rPr>
          <w:bCs/>
        </w:rPr>
        <w:t xml:space="preserve">bilateral </w:t>
      </w:r>
      <w:r w:rsidR="00342B0B">
        <w:rPr>
          <w:bCs/>
        </w:rPr>
        <w:t xml:space="preserve">ovary </w:t>
      </w:r>
      <w:r w:rsidR="00D750F7">
        <w:rPr>
          <w:bCs/>
        </w:rPr>
        <w:t xml:space="preserve">or testicular </w:t>
      </w:r>
      <w:r w:rsidR="00342B0B">
        <w:rPr>
          <w:bCs/>
        </w:rPr>
        <w:t>removal for treatment of disease.</w:t>
      </w:r>
    </w:p>
    <w:p w14:paraId="1FA654C8" w14:textId="77777777" w:rsidR="009A1963" w:rsidRDefault="009A1963" w:rsidP="00C71560">
      <w:pPr>
        <w:rPr>
          <w:bCs/>
          <w:color w:val="FF0000"/>
        </w:rPr>
      </w:pPr>
    </w:p>
    <w:p w14:paraId="4B0F2FD5" w14:textId="77777777" w:rsidR="009A1963" w:rsidRDefault="009A1963" w:rsidP="00720721">
      <w:pPr>
        <w:rPr>
          <w:bCs/>
        </w:rPr>
      </w:pPr>
      <w:r w:rsidRPr="00215402">
        <w:rPr>
          <w:bCs/>
        </w:rPr>
        <w:t>Embryo cryopreservation is an established fertility preservation method, and it has</w:t>
      </w:r>
      <w:r w:rsidR="006536F9">
        <w:rPr>
          <w:bCs/>
        </w:rPr>
        <w:t xml:space="preserve"> </w:t>
      </w:r>
      <w:r w:rsidRPr="00215402">
        <w:rPr>
          <w:bCs/>
        </w:rPr>
        <w:t>routinely been used for storing surplus embryos after in vitro fertilization.</w:t>
      </w:r>
      <w:r>
        <w:rPr>
          <w:bCs/>
        </w:rPr>
        <w:t xml:space="preserve">  </w:t>
      </w:r>
      <w:r w:rsidRPr="00215402">
        <w:rPr>
          <w:bCs/>
        </w:rPr>
        <w:t>Cryopreservation of unfertilized oocytes is an option, particularly for</w:t>
      </w:r>
      <w:r>
        <w:rPr>
          <w:bCs/>
        </w:rPr>
        <w:t xml:space="preserve"> </w:t>
      </w:r>
      <w:r w:rsidRPr="00215402">
        <w:rPr>
          <w:bCs/>
        </w:rPr>
        <w:t>patients who do not have a male partner, do not wish to use donor sperm, or have religious or ethical</w:t>
      </w:r>
      <w:r>
        <w:rPr>
          <w:bCs/>
        </w:rPr>
        <w:t xml:space="preserve"> </w:t>
      </w:r>
      <w:r w:rsidRPr="00215402">
        <w:rPr>
          <w:bCs/>
        </w:rPr>
        <w:t>objections to embryo freezing.</w:t>
      </w:r>
      <w:r>
        <w:rPr>
          <w:bCs/>
        </w:rPr>
        <w:t xml:space="preserve">  </w:t>
      </w:r>
      <w:r w:rsidRPr="00720721">
        <w:rPr>
          <w:bCs/>
        </w:rPr>
        <w:t>Success rates for this</w:t>
      </w:r>
      <w:r>
        <w:rPr>
          <w:bCs/>
        </w:rPr>
        <w:t xml:space="preserve"> </w:t>
      </w:r>
      <w:r w:rsidRPr="00720721">
        <w:rPr>
          <w:bCs/>
        </w:rPr>
        <w:t>procedure have improved significantly,</w:t>
      </w:r>
      <w:r>
        <w:rPr>
          <w:bCs/>
        </w:rPr>
        <w:t xml:space="preserve"> with some </w:t>
      </w:r>
      <w:r w:rsidRPr="00720721">
        <w:rPr>
          <w:bCs/>
        </w:rPr>
        <w:t>reproductive specialty centers report</w:t>
      </w:r>
      <w:r>
        <w:rPr>
          <w:bCs/>
        </w:rPr>
        <w:t>ing s</w:t>
      </w:r>
      <w:r w:rsidRPr="00720721">
        <w:rPr>
          <w:bCs/>
        </w:rPr>
        <w:t>uccess rates comparable</w:t>
      </w:r>
      <w:r>
        <w:rPr>
          <w:bCs/>
        </w:rPr>
        <w:t xml:space="preserve"> </w:t>
      </w:r>
      <w:r w:rsidRPr="00720721">
        <w:rPr>
          <w:bCs/>
        </w:rPr>
        <w:t>to those obtained using unfrozen eggs, especially in younger</w:t>
      </w:r>
      <w:r w:rsidR="006536F9">
        <w:rPr>
          <w:bCs/>
        </w:rPr>
        <w:t xml:space="preserve"> </w:t>
      </w:r>
      <w:r w:rsidRPr="00720721">
        <w:rPr>
          <w:bCs/>
        </w:rPr>
        <w:t>women</w:t>
      </w:r>
      <w:r>
        <w:rPr>
          <w:bCs/>
        </w:rPr>
        <w:t xml:space="preserve">.  </w:t>
      </w:r>
      <w:r w:rsidRPr="00720721">
        <w:rPr>
          <w:bCs/>
        </w:rPr>
        <w:t>Like embryo cryopreservation, this technique also requires</w:t>
      </w:r>
      <w:r>
        <w:rPr>
          <w:bCs/>
        </w:rPr>
        <w:t xml:space="preserve"> </w:t>
      </w:r>
      <w:r w:rsidRPr="00720721">
        <w:rPr>
          <w:bCs/>
        </w:rPr>
        <w:t>ovarian stimulation and ultrasound-guided oocyte retrieval</w:t>
      </w:r>
      <w:r>
        <w:rPr>
          <w:bCs/>
        </w:rPr>
        <w:t>.</w:t>
      </w:r>
    </w:p>
    <w:p w14:paraId="20AADA8B" w14:textId="77777777" w:rsidR="009A1963" w:rsidRDefault="009A1963" w:rsidP="00720721">
      <w:pPr>
        <w:rPr>
          <w:bCs/>
        </w:rPr>
      </w:pPr>
    </w:p>
    <w:p w14:paraId="558ECA01" w14:textId="2E63ACDC" w:rsidR="009A1963" w:rsidRPr="00215402" w:rsidRDefault="009A1963" w:rsidP="00647557">
      <w:pPr>
        <w:rPr>
          <w:bCs/>
        </w:rPr>
      </w:pPr>
      <w:r>
        <w:rPr>
          <w:bCs/>
        </w:rPr>
        <w:t>The effectiveness of o</w:t>
      </w:r>
      <w:r w:rsidRPr="000A5557">
        <w:rPr>
          <w:bCs/>
        </w:rPr>
        <w:t>varian suppression with GnRH</w:t>
      </w:r>
      <w:r w:rsidR="00BF11F3">
        <w:rPr>
          <w:bCs/>
        </w:rPr>
        <w:t>a</w:t>
      </w:r>
      <w:r w:rsidRPr="000A5557">
        <w:rPr>
          <w:bCs/>
        </w:rPr>
        <w:t xml:space="preserve"> or antagonists</w:t>
      </w:r>
      <w:r>
        <w:rPr>
          <w:bCs/>
        </w:rPr>
        <w:t xml:space="preserve"> is inconclusive.  </w:t>
      </w:r>
      <w:r w:rsidR="00647557">
        <w:rPr>
          <w:bCs/>
        </w:rPr>
        <w:t>T</w:t>
      </w:r>
      <w:r w:rsidR="00647557" w:rsidRPr="00647557">
        <w:rPr>
          <w:bCs/>
        </w:rPr>
        <w:t>here is conﬂicting evidence to recommend</w:t>
      </w:r>
      <w:r w:rsidR="00647557">
        <w:rPr>
          <w:bCs/>
        </w:rPr>
        <w:t xml:space="preserve"> </w:t>
      </w:r>
      <w:r w:rsidR="00647557" w:rsidRPr="00647557">
        <w:rPr>
          <w:bCs/>
        </w:rPr>
        <w:t>GnRH</w:t>
      </w:r>
      <w:r w:rsidR="00BF11F3">
        <w:rPr>
          <w:bCs/>
        </w:rPr>
        <w:t>a</w:t>
      </w:r>
      <w:r w:rsidR="00647557">
        <w:rPr>
          <w:bCs/>
        </w:rPr>
        <w:t xml:space="preserve"> </w:t>
      </w:r>
      <w:r w:rsidR="00647557" w:rsidRPr="00647557">
        <w:rPr>
          <w:bCs/>
        </w:rPr>
        <w:t>as a method of fertility preservation</w:t>
      </w:r>
      <w:r w:rsidR="00647557">
        <w:rPr>
          <w:bCs/>
        </w:rPr>
        <w:t xml:space="preserve">.  </w:t>
      </w:r>
      <w:r>
        <w:rPr>
          <w:bCs/>
        </w:rPr>
        <w:t>Studies to date have not provided definitive data demonstrating t</w:t>
      </w:r>
      <w:r w:rsidRPr="000A5557">
        <w:rPr>
          <w:bCs/>
        </w:rPr>
        <w:t>hat</w:t>
      </w:r>
      <w:r>
        <w:rPr>
          <w:bCs/>
        </w:rPr>
        <w:t xml:space="preserve"> </w:t>
      </w:r>
      <w:r w:rsidRPr="000A5557">
        <w:rPr>
          <w:bCs/>
        </w:rPr>
        <w:t>GnRHa preserves fertility, and it remains the subject of</w:t>
      </w:r>
      <w:r>
        <w:rPr>
          <w:bCs/>
        </w:rPr>
        <w:t xml:space="preserve"> </w:t>
      </w:r>
      <w:r w:rsidRPr="000A5557">
        <w:rPr>
          <w:bCs/>
        </w:rPr>
        <w:t>ongoing research.</w:t>
      </w:r>
    </w:p>
    <w:p w14:paraId="61E87B74" w14:textId="77777777" w:rsidR="009A1963" w:rsidRPr="00BA21DD" w:rsidRDefault="009A1963" w:rsidP="00C71560">
      <w:pPr>
        <w:rPr>
          <w:bCs/>
          <w:color w:val="FF0000"/>
        </w:rPr>
      </w:pPr>
    </w:p>
    <w:p w14:paraId="2ED4EAFB" w14:textId="77777777" w:rsidR="009A1963" w:rsidRPr="009777B2" w:rsidRDefault="009A1963" w:rsidP="00C71560">
      <w:pPr>
        <w:rPr>
          <w:i/>
        </w:rPr>
      </w:pPr>
      <w:r w:rsidRPr="009777B2">
        <w:rPr>
          <w:i/>
        </w:rPr>
        <w:t>American Society of Clinical Oncology (ASCO)</w:t>
      </w:r>
    </w:p>
    <w:p w14:paraId="394770DB" w14:textId="77777777" w:rsidR="009A1963" w:rsidRDefault="009A1963" w:rsidP="009777B2">
      <w:r>
        <w:t>ASCO’s recommends d</w:t>
      </w:r>
      <w:r w:rsidRPr="009777B2">
        <w:t>iscuss</w:t>
      </w:r>
      <w:r>
        <w:t xml:space="preserve">ing </w:t>
      </w:r>
      <w:r w:rsidRPr="009777B2">
        <w:t>fertility preservation with all patients of reproductive age (and with parents or guardians of children and adolescents) if</w:t>
      </w:r>
      <w:r>
        <w:t xml:space="preserve"> infertility is a potential risk of therapy, </w:t>
      </w:r>
      <w:r w:rsidRPr="009777B2">
        <w:t>as early as possible, before treatment starts</w:t>
      </w:r>
      <w:r>
        <w:t xml:space="preserve">.  </w:t>
      </w:r>
    </w:p>
    <w:p w14:paraId="04C15AF4" w14:textId="77777777" w:rsidR="009A1963" w:rsidRDefault="009A1963" w:rsidP="009777B2"/>
    <w:p w14:paraId="08CAEA82" w14:textId="77777777" w:rsidR="009A1963" w:rsidRDefault="009A1963" w:rsidP="009777B2">
      <w:r>
        <w:t xml:space="preserve">For males who express an interest in fertility preservation, sperm cryopreservation is the only established fertility preservation method.  ASCO notes that hormonal therapy in men has not shown to be successful in preserving fertility.  Per ASCO, other methods, including testicular tissue cryopreservation for the purpose of future reimplantation or grafting of human testicular tissue are experimental. </w:t>
      </w:r>
    </w:p>
    <w:p w14:paraId="6B93229D" w14:textId="77777777" w:rsidR="009A1963" w:rsidRDefault="009A1963" w:rsidP="009777B2"/>
    <w:p w14:paraId="06A3D361" w14:textId="77777777" w:rsidR="009A1963" w:rsidRDefault="009A1963" w:rsidP="009777B2">
      <w:r>
        <w:t xml:space="preserve">For females </w:t>
      </w:r>
      <w:r w:rsidRPr="00A90C37">
        <w:t>who express an interest in fertility preservation</w:t>
      </w:r>
      <w:r>
        <w:t xml:space="preserve">, both </w:t>
      </w:r>
      <w:r w:rsidR="006536F9">
        <w:t>embryo</w:t>
      </w:r>
      <w:r>
        <w:t xml:space="preserve"> and oocyte cryopreservation are established fertility preservation methods.  Other options for women include ovarian transposition (oophoroexy) when pelvic radiation therapy for cancer treatment is performed or conservative gynecological surgery and radiation options.  ASCO notes that ovarian tissue cryopreservation for the purpose of future transplantation is experimental.  They note also, there is insufficient evidence regarding the effectiveness of ovarian suppression (gonadotropin-releasing hormone analogs) to preserve fertility.</w:t>
      </w:r>
    </w:p>
    <w:p w14:paraId="4269C3F3" w14:textId="77777777" w:rsidR="005B57F2" w:rsidRDefault="005B57F2" w:rsidP="009777B2"/>
    <w:p w14:paraId="55F0EAE8" w14:textId="5453098D" w:rsidR="009A1963" w:rsidRDefault="00FE7055" w:rsidP="009777B2">
      <w:pPr>
        <w:rPr>
          <w:vertAlign w:val="superscript"/>
        </w:rPr>
      </w:pPr>
      <w:r>
        <w:t xml:space="preserve">The </w:t>
      </w:r>
      <w:r w:rsidR="005B57F2">
        <w:t xml:space="preserve">ASCO guidelines </w:t>
      </w:r>
      <w:r>
        <w:t>c</w:t>
      </w:r>
      <w:r w:rsidR="005B57F2">
        <w:t>ontinue to note that there</w:t>
      </w:r>
      <w:r w:rsidR="005B57F2" w:rsidRPr="005B57F2">
        <w:t xml:space="preserve"> is conflicting evidence to recommend GnRHa and other means of ovarian suppression for fertility preservation.</w:t>
      </w:r>
      <w:r w:rsidR="001E54F8">
        <w:t xml:space="preserve"> </w:t>
      </w:r>
      <w:r w:rsidR="005B57F2" w:rsidRPr="005B57F2">
        <w:t xml:space="preserve"> </w:t>
      </w:r>
      <w:r w:rsidR="005B57F2">
        <w:t>However, the</w:t>
      </w:r>
      <w:r w:rsidR="005B57F2" w:rsidRPr="005B57F2">
        <w:t xml:space="preserve"> Panel recognizes </w:t>
      </w:r>
      <w:r w:rsidR="005B57F2" w:rsidRPr="005B57F2">
        <w:lastRenderedPageBreak/>
        <w:t xml:space="preserve">that, when proven fertility preservation methods are not feasible, and in the setting of young women with breast cancer, GnRHa may be offered to patients in the hope of reducing the likelihood of chemotherapy-induced ovarian insufficiency. </w:t>
      </w:r>
      <w:r w:rsidR="001E54F8">
        <w:t xml:space="preserve"> </w:t>
      </w:r>
      <w:r w:rsidR="005B57F2" w:rsidRPr="005B57F2">
        <w:t xml:space="preserve">GnRHa should not be used in place of proven fertility preservation methods. </w:t>
      </w:r>
      <w:r w:rsidR="001E54F8">
        <w:t xml:space="preserve"> </w:t>
      </w:r>
      <w:r w:rsidR="005B57F2" w:rsidRPr="005B57F2">
        <w:t>The panel notes that the field of ovarian tissue cryopreservation is advancing quickly and may evolve to become standard therapy in the future</w:t>
      </w:r>
      <w:r w:rsidR="005B57F2">
        <w:t>, although at the time of publication, it remains experimental.</w:t>
      </w:r>
      <w:r w:rsidR="0095766E" w:rsidRPr="00BF22BA">
        <w:rPr>
          <w:vertAlign w:val="superscript"/>
        </w:rPr>
        <w:t>10</w:t>
      </w:r>
      <w:r w:rsidR="005B57F2" w:rsidRPr="00BF22BA">
        <w:rPr>
          <w:vertAlign w:val="superscript"/>
        </w:rPr>
        <w:t xml:space="preserve">  </w:t>
      </w:r>
    </w:p>
    <w:p w14:paraId="0DA35BAD" w14:textId="77777777" w:rsidR="00496108" w:rsidRDefault="00496108" w:rsidP="009777B2"/>
    <w:p w14:paraId="54992CE0" w14:textId="135B6D36" w:rsidR="00971D83" w:rsidRPr="00BF22BA" w:rsidRDefault="009A1963" w:rsidP="00971D83">
      <w:pPr>
        <w:rPr>
          <w:vertAlign w:val="superscript"/>
        </w:rPr>
      </w:pPr>
      <w:r>
        <w:t>For children, ASCO recommends using established methods of fertility preservation (semen cryopreservation and oocyte cryopreservation) for postpubertal minor children, with patient assent, if appropriate, and parent or guardian consent.</w:t>
      </w:r>
      <w:r w:rsidRPr="0044651D">
        <w:rPr>
          <w:vertAlign w:val="superscript"/>
        </w:rPr>
        <w:t xml:space="preserve">1 </w:t>
      </w:r>
      <w:r>
        <w:t xml:space="preserve">   </w:t>
      </w:r>
      <w:r w:rsidR="00971D83" w:rsidRPr="00971D83">
        <w:t>For prepubertal children, the only fertility preservation options are ovarian and testicular cryopreservation, which are investigational.</w:t>
      </w:r>
      <w:r w:rsidR="00971D83" w:rsidRPr="00BF22BA">
        <w:rPr>
          <w:vertAlign w:val="superscript"/>
        </w:rPr>
        <w:t>10</w:t>
      </w:r>
    </w:p>
    <w:p w14:paraId="1670A8BD" w14:textId="77777777" w:rsidR="009A1963" w:rsidRPr="00A90C37" w:rsidRDefault="009A1963" w:rsidP="009777B2"/>
    <w:p w14:paraId="363BB9A4" w14:textId="4F10C335" w:rsidR="009A1963" w:rsidRPr="005F245F" w:rsidRDefault="009A1963" w:rsidP="009777B2">
      <w:pPr>
        <w:rPr>
          <w:i/>
        </w:rPr>
      </w:pPr>
      <w:r w:rsidRPr="005F245F">
        <w:rPr>
          <w:i/>
        </w:rPr>
        <w:t xml:space="preserve">National Comprehensive </w:t>
      </w:r>
      <w:r w:rsidR="00341DB5" w:rsidRPr="005F245F">
        <w:rPr>
          <w:i/>
        </w:rPr>
        <w:t>Ca</w:t>
      </w:r>
      <w:r w:rsidR="00341DB5">
        <w:rPr>
          <w:i/>
        </w:rPr>
        <w:t>ncer</w:t>
      </w:r>
      <w:r w:rsidR="00341DB5" w:rsidRPr="005F245F">
        <w:rPr>
          <w:i/>
        </w:rPr>
        <w:t xml:space="preserve"> </w:t>
      </w:r>
      <w:r w:rsidRPr="005F245F">
        <w:rPr>
          <w:i/>
        </w:rPr>
        <w:t>Network (NCCN)</w:t>
      </w:r>
    </w:p>
    <w:p w14:paraId="6D92E7EB" w14:textId="509AC657" w:rsidR="005B57F2" w:rsidRDefault="009A1963" w:rsidP="009777B2">
      <w:r>
        <w:t>NCCN guidelines on Adolescent and Young Adult Oncology note that mature oocyte cryopreservation is no longer considered investigational, however, embryo cryopreservation is preferred if there is an identified sperm donor.</w:t>
      </w:r>
      <w:r w:rsidRPr="0044651D">
        <w:rPr>
          <w:vertAlign w:val="superscript"/>
        </w:rPr>
        <w:t xml:space="preserve">2 </w:t>
      </w:r>
      <w:r>
        <w:t xml:space="preserve"> </w:t>
      </w:r>
    </w:p>
    <w:p w14:paraId="785762DF" w14:textId="77777777" w:rsidR="005B57F2" w:rsidRDefault="005B57F2" w:rsidP="009777B2"/>
    <w:p w14:paraId="2C4D9B86" w14:textId="1BE39747" w:rsidR="009A1963" w:rsidRDefault="005B57F2" w:rsidP="009777B2">
      <w:r>
        <w:t xml:space="preserve">Ovarian tissue cryopreservation is a promising, but less well-studied strategy for female fertility preservation when there is insufficient time for oocyte or embryo </w:t>
      </w:r>
      <w:r w:rsidR="0095766E">
        <w:t xml:space="preserve">cryopreservation and/or the patient is prepubertal. </w:t>
      </w:r>
      <w:r w:rsidR="001E54F8">
        <w:t xml:space="preserve"> </w:t>
      </w:r>
      <w:r w:rsidR="0095766E">
        <w:t>While tissue cryopreservation is still considered investigational at some institutions, it may be discussed as an option for fertility preservation.</w:t>
      </w:r>
      <w:r w:rsidR="00647557" w:rsidRPr="00BF22BA">
        <w:rPr>
          <w:vertAlign w:val="superscript"/>
        </w:rPr>
        <w:t>2</w:t>
      </w:r>
    </w:p>
    <w:p w14:paraId="3FC3AB20" w14:textId="77777777" w:rsidR="0095766E" w:rsidRDefault="0095766E" w:rsidP="009777B2"/>
    <w:p w14:paraId="5088AE22" w14:textId="3904C987" w:rsidR="0095766E" w:rsidRDefault="0095766E" w:rsidP="009777B2">
      <w:r>
        <w:t>Some data suggest that menstrual suppression with GnRH</w:t>
      </w:r>
      <w:r w:rsidR="00BF11F3">
        <w:t>a</w:t>
      </w:r>
      <w:r>
        <w:t xml:space="preserve"> may protect ovarian function.  However, evidence that menstrual suppression with GnRH</w:t>
      </w:r>
      <w:r w:rsidR="00BF11F3">
        <w:t>a</w:t>
      </w:r>
      <w:r>
        <w:t xml:space="preserve"> protect ovarian function is insufficient, so this procedure is not currently recommended as an option for fertility preservation.</w:t>
      </w:r>
      <w:r w:rsidR="00647557" w:rsidRPr="00BF22BA">
        <w:rPr>
          <w:vertAlign w:val="superscript"/>
        </w:rPr>
        <w:t>2</w:t>
      </w:r>
    </w:p>
    <w:p w14:paraId="575A8BB6" w14:textId="77777777" w:rsidR="0095766E" w:rsidRDefault="0095766E" w:rsidP="009777B2"/>
    <w:p w14:paraId="28AC7D7E" w14:textId="3E89FA91" w:rsidR="00507986" w:rsidRPr="00BF22BA" w:rsidRDefault="00507986" w:rsidP="009777B2">
      <w:pPr>
        <w:rPr>
          <w:i/>
        </w:rPr>
      </w:pPr>
      <w:r w:rsidRPr="00BF22BA">
        <w:rPr>
          <w:i/>
        </w:rPr>
        <w:t>A</w:t>
      </w:r>
      <w:r w:rsidR="0095766E" w:rsidRPr="00BF22BA">
        <w:rPr>
          <w:i/>
        </w:rPr>
        <w:t>merican College of Obstetricians and Gynecologists (A</w:t>
      </w:r>
      <w:r w:rsidRPr="00BF22BA">
        <w:rPr>
          <w:i/>
        </w:rPr>
        <w:t>COG</w:t>
      </w:r>
      <w:r w:rsidR="0095766E" w:rsidRPr="00BF22BA">
        <w:rPr>
          <w:i/>
        </w:rPr>
        <w:t>)</w:t>
      </w:r>
    </w:p>
    <w:p w14:paraId="7C5722BC" w14:textId="6D7ECDE1" w:rsidR="00507986" w:rsidRPr="00BF22BA" w:rsidRDefault="00507986" w:rsidP="009777B2">
      <w:pPr>
        <w:rPr>
          <w:vertAlign w:val="superscript"/>
        </w:rPr>
      </w:pPr>
      <w:r w:rsidRPr="00507986">
        <w:t>For young women who have completed sexual development, GnRH</w:t>
      </w:r>
      <w:r w:rsidR="00BF11F3">
        <w:t>a</w:t>
      </w:r>
      <w:r w:rsidRPr="00507986">
        <w:t>, such as leuprolide acetate, have been used to induce ovarian quiescence to preserve ovarian function and fertility after cytotoxic treatment.</w:t>
      </w:r>
      <w:r w:rsidR="001E54F8">
        <w:t xml:space="preserve"> </w:t>
      </w:r>
      <w:r w:rsidRPr="00507986">
        <w:t xml:space="preserve"> Leuprolide acetate is not recommended for prepubertal girls.</w:t>
      </w:r>
      <w:r w:rsidR="001E54F8">
        <w:t xml:space="preserve"> </w:t>
      </w:r>
      <w:r w:rsidRPr="00507986">
        <w:t xml:space="preserve"> There still is no conclusive evidence that demonstrates efficacy of GnRH</w:t>
      </w:r>
      <w:r w:rsidR="00BF11F3">
        <w:t>a</w:t>
      </w:r>
      <w:r w:rsidRPr="00507986">
        <w:t xml:space="preserve">, and studies are primarily observational regarding their effectiveness in fertility preservation. </w:t>
      </w:r>
      <w:r w:rsidR="001E54F8">
        <w:t xml:space="preserve"> </w:t>
      </w:r>
      <w:r w:rsidRPr="00507986">
        <w:t>T</w:t>
      </w:r>
      <w:r w:rsidR="00BC038B" w:rsidRPr="00BC038B">
        <w:t>he use of GnRH</w:t>
      </w:r>
      <w:r w:rsidR="00BF11F3">
        <w:t>a</w:t>
      </w:r>
      <w:r w:rsidR="00BC038B" w:rsidRPr="00BC038B">
        <w:t xml:space="preserve"> should be considered and discussed with premenopausal patients who will be treated with chemot</w:t>
      </w:r>
      <w:r w:rsidR="00BF11F3">
        <w:t xml:space="preserve">herapeutic agents. </w:t>
      </w:r>
      <w:r w:rsidR="001E54F8">
        <w:t xml:space="preserve"> </w:t>
      </w:r>
      <w:r w:rsidR="00BF11F3">
        <w:t>Because GnRHa</w:t>
      </w:r>
      <w:r w:rsidR="00BC038B" w:rsidRPr="00BC038B">
        <w:t xml:space="preserve"> have mixed results in fertility preservation with trends toward more favorable outcomes, GnRH</w:t>
      </w:r>
      <w:r w:rsidR="00BF11F3">
        <w:t>a</w:t>
      </w:r>
      <w:r w:rsidR="00BC038B" w:rsidRPr="00BC038B">
        <w:t xml:space="preserve"> therapy may be recommended as an adjuvant to chemotherapy. </w:t>
      </w:r>
      <w:r w:rsidR="001E54F8">
        <w:t xml:space="preserve"> </w:t>
      </w:r>
      <w:r w:rsidR="00BC038B" w:rsidRPr="00BC038B">
        <w:t>A meta-analysis of females 14–45 years of age demonstrated that co</w:t>
      </w:r>
      <w:r w:rsidR="0095766E">
        <w:t>-</w:t>
      </w:r>
      <w:r w:rsidR="00BC038B" w:rsidRPr="00BC038B">
        <w:t>treatment with GnRH agonists during chemotherapy was associated with increased odds of maintaining ovarian function and achieving pregnancy after treatment.</w:t>
      </w:r>
      <w:r w:rsidR="0095766E" w:rsidRPr="00BF22BA">
        <w:rPr>
          <w:vertAlign w:val="superscript"/>
        </w:rPr>
        <w:t>11</w:t>
      </w:r>
    </w:p>
    <w:p w14:paraId="38544071" w14:textId="77777777" w:rsidR="009A1963" w:rsidRDefault="009A1963" w:rsidP="00170B14">
      <w:pPr>
        <w:rPr>
          <w:b/>
        </w:rPr>
      </w:pPr>
      <w:bookmarkStart w:id="0" w:name="Coding_Implications"/>
    </w:p>
    <w:p w14:paraId="133903F3" w14:textId="77777777" w:rsidR="009A1963" w:rsidRPr="00B777AF" w:rsidRDefault="009A1963" w:rsidP="00170B14">
      <w:pPr>
        <w:rPr>
          <w:b/>
        </w:rPr>
      </w:pPr>
      <w:r w:rsidRPr="00B777AF">
        <w:rPr>
          <w:b/>
        </w:rPr>
        <w:t>Coding Implications</w:t>
      </w:r>
    </w:p>
    <w:bookmarkEnd w:id="0"/>
    <w:p w14:paraId="0D592D0A" w14:textId="7C6C9B85" w:rsidR="009A1963" w:rsidRDefault="009A1963" w:rsidP="00AF5490">
      <w:r w:rsidRPr="00507DC0">
        <w:t xml:space="preserve">This </w:t>
      </w:r>
      <w:r>
        <w:t xml:space="preserve">clinical </w:t>
      </w:r>
      <w:r w:rsidRPr="00507DC0">
        <w:t>policy references Current Procedural Terminology (CPT</w:t>
      </w:r>
      <w:r w:rsidRPr="00DD6ADB">
        <w:rPr>
          <w:vertAlign w:val="superscript"/>
        </w:rPr>
        <w:t>®</w:t>
      </w:r>
      <w:r w:rsidRPr="00507DC0">
        <w:t xml:space="preserve">). </w:t>
      </w:r>
      <w:r w:rsidR="001E54F8">
        <w:t xml:space="preserve"> </w:t>
      </w:r>
      <w:r w:rsidRPr="00507DC0">
        <w:t>CPT</w:t>
      </w:r>
      <w:r w:rsidRPr="00DD6ADB">
        <w:rPr>
          <w:vertAlign w:val="superscript"/>
        </w:rPr>
        <w:t>®</w:t>
      </w:r>
      <w:r w:rsidRPr="00507DC0">
        <w:t xml:space="preserve"> is a registered trademark of the Americ</w:t>
      </w:r>
      <w:r>
        <w:t xml:space="preserve">an Medical Association. </w:t>
      </w:r>
      <w:r w:rsidR="001E54F8">
        <w:t xml:space="preserve"> </w:t>
      </w:r>
      <w:r>
        <w:t>All CPT</w:t>
      </w:r>
      <w:r w:rsidRPr="00507DC0">
        <w:t xml:space="preserve"> codes and descriptions are copyrighted </w:t>
      </w:r>
      <w:r w:rsidR="001E54F8" w:rsidRPr="00507DC0">
        <w:t>201</w:t>
      </w:r>
      <w:r w:rsidR="001E54F8">
        <w:t>9</w:t>
      </w:r>
      <w:r w:rsidRPr="00507DC0">
        <w:t xml:space="preserve">, American Medical Association. </w:t>
      </w:r>
      <w:r w:rsidR="001E54F8">
        <w:t xml:space="preserve"> </w:t>
      </w:r>
      <w:r w:rsidRPr="00507DC0">
        <w:t xml:space="preserve">All rights reserved. </w:t>
      </w:r>
      <w:r w:rsidR="001E54F8">
        <w:t xml:space="preserve"> </w:t>
      </w:r>
      <w:r w:rsidRPr="00507DC0">
        <w:t>CPT</w:t>
      </w:r>
      <w:r>
        <w:t xml:space="preserve"> codes and CPT</w:t>
      </w:r>
      <w:r w:rsidRPr="00507DC0">
        <w:t xml:space="preserve"> descriptions are from </w:t>
      </w:r>
      <w:r>
        <w:t xml:space="preserve">the </w:t>
      </w:r>
      <w:r w:rsidRPr="00507DC0">
        <w:t>current manuals and those included herein are not intended to be all-</w:t>
      </w:r>
      <w:r w:rsidRPr="00507DC0">
        <w:lastRenderedPageBreak/>
        <w:t xml:space="preserve">inclusive and are included for informational purposes only. </w:t>
      </w:r>
      <w:r w:rsidRPr="00E7516C">
        <w:t xml:space="preserve"> </w:t>
      </w:r>
      <w:r w:rsidRPr="005E117C">
        <w:t>Codes</w:t>
      </w:r>
      <w:r>
        <w:t xml:space="preserve"> referenced in this c</w:t>
      </w:r>
      <w:r w:rsidRPr="005E117C">
        <w:t xml:space="preserve">linical </w:t>
      </w:r>
      <w:r>
        <w:t>p</w:t>
      </w:r>
      <w:r w:rsidRPr="005E117C">
        <w:t>olicy are for informational purposes only.  Inclusion or exclusion of any codes does not guarantee coverage.  Providers should reference the most up-to-date sources of professional coding guidance prior to the submission of claims for reimbursement of covered services.</w:t>
      </w:r>
    </w:p>
    <w:p w14:paraId="31218F1B" w14:textId="77777777" w:rsidR="009A1963" w:rsidRDefault="009A1963" w:rsidP="00AF5490"/>
    <w:tbl>
      <w:tblPr>
        <w:tblW w:w="50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100"/>
        <w:gridCol w:w="8435"/>
      </w:tblGrid>
      <w:tr w:rsidR="00F62A7A" w:rsidRPr="00B777AF" w14:paraId="504B6055" w14:textId="77777777" w:rsidTr="00E80D2D">
        <w:trPr>
          <w:tblHeader/>
        </w:trPr>
        <w:tc>
          <w:tcPr>
            <w:tcW w:w="1100" w:type="dxa"/>
            <w:shd w:val="clear" w:color="auto" w:fill="00548C"/>
          </w:tcPr>
          <w:p w14:paraId="6F7BDAAB" w14:textId="77777777" w:rsidR="00F62A7A" w:rsidRPr="00B26BB1" w:rsidRDefault="00F62A7A" w:rsidP="006322D7">
            <w:pPr>
              <w:rPr>
                <w:b/>
                <w:bCs/>
                <w:color w:val="FFFFFF"/>
              </w:rPr>
            </w:pPr>
            <w:r w:rsidRPr="00B26BB1">
              <w:rPr>
                <w:b/>
                <w:color w:val="FFFFFF"/>
              </w:rPr>
              <w:t>CPT</w:t>
            </w:r>
            <w:r w:rsidRPr="00B26BB1">
              <w:rPr>
                <w:b/>
                <w:color w:val="FFFFFF"/>
                <w:vertAlign w:val="superscript"/>
              </w:rPr>
              <w:t>®</w:t>
            </w:r>
            <w:r w:rsidRPr="00B26BB1">
              <w:rPr>
                <w:b/>
                <w:color w:val="FFFFFF"/>
              </w:rPr>
              <w:t xml:space="preserve"> Codes </w:t>
            </w:r>
          </w:p>
        </w:tc>
        <w:tc>
          <w:tcPr>
            <w:tcW w:w="8435" w:type="dxa"/>
            <w:shd w:val="clear" w:color="auto" w:fill="00548C"/>
          </w:tcPr>
          <w:p w14:paraId="7D80C67B" w14:textId="77777777" w:rsidR="00F62A7A" w:rsidRPr="00B26BB1" w:rsidRDefault="00F62A7A" w:rsidP="006322D7">
            <w:pPr>
              <w:rPr>
                <w:b/>
                <w:bCs/>
                <w:color w:val="FFFFFF"/>
              </w:rPr>
            </w:pPr>
            <w:r w:rsidRPr="00B26BB1">
              <w:rPr>
                <w:b/>
                <w:color w:val="FFFFFF"/>
              </w:rPr>
              <w:t>Description</w:t>
            </w:r>
          </w:p>
        </w:tc>
      </w:tr>
      <w:tr w:rsidR="00F62A7A" w:rsidRPr="005144C0" w14:paraId="014D3741" w14:textId="77777777" w:rsidTr="00E80D2D">
        <w:tc>
          <w:tcPr>
            <w:tcW w:w="1100" w:type="dxa"/>
          </w:tcPr>
          <w:p w14:paraId="76BB7C42" w14:textId="77777777" w:rsidR="00F62A7A" w:rsidRPr="00E54798" w:rsidRDefault="00F62A7A" w:rsidP="006322D7">
            <w:pPr>
              <w:rPr>
                <w:bCs/>
              </w:rPr>
            </w:pPr>
            <w:r w:rsidRPr="00E54798">
              <w:rPr>
                <w:bCs/>
                <w:sz w:val="22"/>
                <w:szCs w:val="22"/>
              </w:rPr>
              <w:t>00840</w:t>
            </w:r>
          </w:p>
        </w:tc>
        <w:tc>
          <w:tcPr>
            <w:tcW w:w="8435" w:type="dxa"/>
          </w:tcPr>
          <w:p w14:paraId="119AF8F3" w14:textId="77777777" w:rsidR="00F62A7A" w:rsidRPr="00E54798" w:rsidRDefault="00F62A7A" w:rsidP="006322D7">
            <w:pPr>
              <w:rPr>
                <w:bCs/>
              </w:rPr>
            </w:pPr>
            <w:r w:rsidRPr="00E54798">
              <w:rPr>
                <w:bCs/>
                <w:sz w:val="22"/>
                <w:szCs w:val="22"/>
              </w:rPr>
              <w:t xml:space="preserve">Anesthesia for intraperitoneal procedures in lower abdomen including laparoscopy; not otherwise specified  </w:t>
            </w:r>
          </w:p>
        </w:tc>
      </w:tr>
      <w:tr w:rsidR="00F62A7A" w:rsidRPr="005144C0" w14:paraId="4AB75FED" w14:textId="77777777" w:rsidTr="00E80D2D">
        <w:tc>
          <w:tcPr>
            <w:tcW w:w="1100" w:type="dxa"/>
          </w:tcPr>
          <w:p w14:paraId="0A4D7C34" w14:textId="77777777" w:rsidR="00F62A7A" w:rsidRPr="00E54798" w:rsidRDefault="00F62A7A" w:rsidP="006322D7">
            <w:pPr>
              <w:rPr>
                <w:bCs/>
              </w:rPr>
            </w:pPr>
            <w:r w:rsidRPr="00E54798">
              <w:rPr>
                <w:bCs/>
                <w:sz w:val="22"/>
                <w:szCs w:val="22"/>
              </w:rPr>
              <w:t>57531</w:t>
            </w:r>
          </w:p>
        </w:tc>
        <w:tc>
          <w:tcPr>
            <w:tcW w:w="8435" w:type="dxa"/>
          </w:tcPr>
          <w:p w14:paraId="59A28439" w14:textId="0B45961D" w:rsidR="00F62A7A" w:rsidRPr="00E54798" w:rsidRDefault="00F62A7A" w:rsidP="00513E5A">
            <w:pPr>
              <w:rPr>
                <w:bCs/>
              </w:rPr>
            </w:pPr>
            <w:r w:rsidRPr="00E54798">
              <w:rPr>
                <w:bCs/>
                <w:sz w:val="22"/>
                <w:szCs w:val="22"/>
              </w:rPr>
              <w:t xml:space="preserve">Radical trachelectomy, with bilateral total pelvic lymphadenectomy and para-aortic lymph node </w:t>
            </w:r>
            <w:r w:rsidRPr="0049532A">
              <w:rPr>
                <w:bCs/>
                <w:sz w:val="22"/>
                <w:szCs w:val="22"/>
              </w:rPr>
              <w:t xml:space="preserve">sampling </w:t>
            </w:r>
            <w:r w:rsidR="0049532A" w:rsidRPr="00E54798">
              <w:rPr>
                <w:bCs/>
                <w:sz w:val="22"/>
                <w:szCs w:val="22"/>
              </w:rPr>
              <w:t>biopsy, with</w:t>
            </w:r>
            <w:r w:rsidRPr="00E54798">
              <w:rPr>
                <w:bCs/>
                <w:sz w:val="22"/>
                <w:szCs w:val="22"/>
              </w:rPr>
              <w:t xml:space="preserve"> or without removal of tube(s), with or without removal of ovary(s)</w:t>
            </w:r>
          </w:p>
        </w:tc>
      </w:tr>
      <w:tr w:rsidR="00F62A7A" w:rsidRPr="005144C0" w14:paraId="620CFD6F" w14:textId="77777777" w:rsidTr="00E80D2D">
        <w:tc>
          <w:tcPr>
            <w:tcW w:w="1100" w:type="dxa"/>
          </w:tcPr>
          <w:p w14:paraId="77E7E7C1" w14:textId="77777777" w:rsidR="00F62A7A" w:rsidRPr="00E54798" w:rsidRDefault="00F62A7A" w:rsidP="006322D7">
            <w:pPr>
              <w:rPr>
                <w:bCs/>
              </w:rPr>
            </w:pPr>
            <w:r w:rsidRPr="00E54798">
              <w:rPr>
                <w:bCs/>
                <w:sz w:val="22"/>
                <w:szCs w:val="22"/>
              </w:rPr>
              <w:t>58825</w:t>
            </w:r>
          </w:p>
        </w:tc>
        <w:tc>
          <w:tcPr>
            <w:tcW w:w="8435" w:type="dxa"/>
          </w:tcPr>
          <w:p w14:paraId="16B2BD18" w14:textId="77777777" w:rsidR="00F62A7A" w:rsidRPr="00E54798" w:rsidRDefault="00F62A7A" w:rsidP="006322D7">
            <w:pPr>
              <w:rPr>
                <w:bCs/>
              </w:rPr>
            </w:pPr>
            <w:r w:rsidRPr="00E54798">
              <w:rPr>
                <w:bCs/>
                <w:sz w:val="22"/>
                <w:szCs w:val="22"/>
              </w:rPr>
              <w:t>Transposition, ovary(s)</w:t>
            </w:r>
          </w:p>
        </w:tc>
      </w:tr>
      <w:tr w:rsidR="00F62A7A" w:rsidRPr="005144C0" w14:paraId="3AFD8BE2" w14:textId="77777777" w:rsidTr="00E80D2D">
        <w:tc>
          <w:tcPr>
            <w:tcW w:w="1100" w:type="dxa"/>
          </w:tcPr>
          <w:p w14:paraId="2763829D" w14:textId="77777777" w:rsidR="00F62A7A" w:rsidRPr="00E54798" w:rsidRDefault="00F62A7A" w:rsidP="006322D7">
            <w:pPr>
              <w:rPr>
                <w:bCs/>
              </w:rPr>
            </w:pPr>
            <w:r w:rsidRPr="00E54798">
              <w:rPr>
                <w:bCs/>
                <w:sz w:val="22"/>
                <w:szCs w:val="22"/>
              </w:rPr>
              <w:t>58970</w:t>
            </w:r>
          </w:p>
        </w:tc>
        <w:tc>
          <w:tcPr>
            <w:tcW w:w="8435" w:type="dxa"/>
          </w:tcPr>
          <w:p w14:paraId="2F967B1B" w14:textId="77777777" w:rsidR="00F62A7A" w:rsidRPr="0049532A" w:rsidRDefault="00F62A7A" w:rsidP="006322D7">
            <w:pPr>
              <w:rPr>
                <w:bCs/>
              </w:rPr>
            </w:pPr>
            <w:r w:rsidRPr="00E54798">
              <w:rPr>
                <w:bCs/>
                <w:sz w:val="22"/>
                <w:szCs w:val="22"/>
              </w:rPr>
              <w:t>Follicle Puncture for oocyte r</w:t>
            </w:r>
            <w:r w:rsidRPr="009621CB">
              <w:rPr>
                <w:bCs/>
                <w:sz w:val="22"/>
                <w:szCs w:val="22"/>
              </w:rPr>
              <w:t>etrieval</w:t>
            </w:r>
            <w:r w:rsidRPr="0049532A">
              <w:rPr>
                <w:bCs/>
                <w:sz w:val="22"/>
                <w:szCs w:val="22"/>
              </w:rPr>
              <w:t>, any method</w:t>
            </w:r>
          </w:p>
        </w:tc>
      </w:tr>
      <w:tr w:rsidR="00F62A7A" w:rsidRPr="005144C0" w14:paraId="64342B1E" w14:textId="77777777" w:rsidTr="00E80D2D">
        <w:tc>
          <w:tcPr>
            <w:tcW w:w="1100" w:type="dxa"/>
          </w:tcPr>
          <w:p w14:paraId="2BEC251C" w14:textId="77777777" w:rsidR="00F62A7A" w:rsidRPr="00E54798" w:rsidRDefault="00F62A7A" w:rsidP="006322D7">
            <w:pPr>
              <w:rPr>
                <w:bCs/>
              </w:rPr>
            </w:pPr>
            <w:r w:rsidRPr="00E54798">
              <w:rPr>
                <w:bCs/>
                <w:sz w:val="22"/>
                <w:szCs w:val="22"/>
              </w:rPr>
              <w:t>76856</w:t>
            </w:r>
          </w:p>
        </w:tc>
        <w:tc>
          <w:tcPr>
            <w:tcW w:w="8435" w:type="dxa"/>
          </w:tcPr>
          <w:p w14:paraId="1D586C01" w14:textId="77777777" w:rsidR="00F62A7A" w:rsidRPr="009621CB" w:rsidRDefault="00F62A7A" w:rsidP="006322D7">
            <w:pPr>
              <w:rPr>
                <w:bCs/>
              </w:rPr>
            </w:pPr>
            <w:r w:rsidRPr="00E54798">
              <w:rPr>
                <w:bCs/>
                <w:sz w:val="22"/>
                <w:szCs w:val="22"/>
              </w:rPr>
              <w:t>Ultrasound, pelvic (nonobstetric), real time with image documentation; complete</w:t>
            </w:r>
          </w:p>
        </w:tc>
      </w:tr>
      <w:tr w:rsidR="00F62A7A" w:rsidRPr="005144C0" w14:paraId="391F9A63" w14:textId="77777777" w:rsidTr="00E80D2D">
        <w:tc>
          <w:tcPr>
            <w:tcW w:w="1100" w:type="dxa"/>
          </w:tcPr>
          <w:p w14:paraId="4067060D" w14:textId="77777777" w:rsidR="00F62A7A" w:rsidRPr="00E54798" w:rsidRDefault="00F62A7A" w:rsidP="006322D7">
            <w:pPr>
              <w:rPr>
                <w:bCs/>
              </w:rPr>
            </w:pPr>
            <w:r w:rsidRPr="00E54798">
              <w:rPr>
                <w:bCs/>
                <w:sz w:val="22"/>
                <w:szCs w:val="22"/>
              </w:rPr>
              <w:t>76948</w:t>
            </w:r>
          </w:p>
        </w:tc>
        <w:tc>
          <w:tcPr>
            <w:tcW w:w="8435" w:type="dxa"/>
          </w:tcPr>
          <w:p w14:paraId="4B5FE6A1" w14:textId="77777777" w:rsidR="00F62A7A" w:rsidRPr="0049532A" w:rsidRDefault="00F62A7A" w:rsidP="006322D7">
            <w:pPr>
              <w:rPr>
                <w:bCs/>
              </w:rPr>
            </w:pPr>
            <w:r w:rsidRPr="00E54798">
              <w:rPr>
                <w:bCs/>
                <w:sz w:val="22"/>
                <w:szCs w:val="22"/>
              </w:rPr>
              <w:t>Ultrasonic guidance for a</w:t>
            </w:r>
            <w:r w:rsidRPr="009621CB">
              <w:rPr>
                <w:bCs/>
                <w:sz w:val="22"/>
                <w:szCs w:val="22"/>
              </w:rPr>
              <w:t xml:space="preserve">spiration of </w:t>
            </w:r>
            <w:r w:rsidRPr="0049532A">
              <w:rPr>
                <w:bCs/>
                <w:sz w:val="22"/>
                <w:szCs w:val="22"/>
              </w:rPr>
              <w:t>ova, imaging supervision and interpretation</w:t>
            </w:r>
          </w:p>
        </w:tc>
      </w:tr>
      <w:tr w:rsidR="00F62A7A" w:rsidRPr="005144C0" w14:paraId="7E60061B" w14:textId="77777777" w:rsidTr="00E80D2D">
        <w:tc>
          <w:tcPr>
            <w:tcW w:w="1100" w:type="dxa"/>
          </w:tcPr>
          <w:p w14:paraId="0C729106" w14:textId="77777777" w:rsidR="00F62A7A" w:rsidRPr="00E54798" w:rsidRDefault="00F62A7A" w:rsidP="006322D7">
            <w:pPr>
              <w:rPr>
                <w:bCs/>
              </w:rPr>
            </w:pPr>
            <w:r w:rsidRPr="00E54798">
              <w:rPr>
                <w:bCs/>
                <w:sz w:val="22"/>
                <w:szCs w:val="22"/>
              </w:rPr>
              <w:t>77334</w:t>
            </w:r>
          </w:p>
        </w:tc>
        <w:tc>
          <w:tcPr>
            <w:tcW w:w="8435" w:type="dxa"/>
          </w:tcPr>
          <w:p w14:paraId="22324A7B" w14:textId="77777777" w:rsidR="00F62A7A" w:rsidRPr="00E54798" w:rsidRDefault="00F62A7A" w:rsidP="006322D7">
            <w:pPr>
              <w:rPr>
                <w:bCs/>
              </w:rPr>
            </w:pPr>
            <w:r w:rsidRPr="00E54798">
              <w:rPr>
                <w:bCs/>
                <w:sz w:val="22"/>
                <w:szCs w:val="22"/>
              </w:rPr>
              <w:t>Treatment devices, design and con</w:t>
            </w:r>
            <w:r w:rsidR="00642C05" w:rsidRPr="00E54798">
              <w:rPr>
                <w:bCs/>
                <w:sz w:val="22"/>
                <w:szCs w:val="22"/>
              </w:rPr>
              <w:t>struction, complex</w:t>
            </w:r>
            <w:r w:rsidRPr="00E54798">
              <w:rPr>
                <w:bCs/>
                <w:sz w:val="22"/>
                <w:szCs w:val="22"/>
              </w:rPr>
              <w:t xml:space="preserve"> (irregular blocks, special shields, compensators, wedges, molds or casts)</w:t>
            </w:r>
          </w:p>
        </w:tc>
      </w:tr>
      <w:tr w:rsidR="00F62A7A" w:rsidRPr="005144C0" w14:paraId="00D87DAD" w14:textId="77777777" w:rsidTr="00E80D2D">
        <w:tc>
          <w:tcPr>
            <w:tcW w:w="1100" w:type="dxa"/>
          </w:tcPr>
          <w:p w14:paraId="44D72734" w14:textId="77777777" w:rsidR="00F62A7A" w:rsidRPr="00E54798" w:rsidRDefault="00F62A7A" w:rsidP="006322D7">
            <w:pPr>
              <w:rPr>
                <w:bCs/>
              </w:rPr>
            </w:pPr>
            <w:r w:rsidRPr="00E54798">
              <w:rPr>
                <w:bCs/>
                <w:sz w:val="22"/>
                <w:szCs w:val="22"/>
              </w:rPr>
              <w:t>82670</w:t>
            </w:r>
          </w:p>
        </w:tc>
        <w:tc>
          <w:tcPr>
            <w:tcW w:w="8435" w:type="dxa"/>
          </w:tcPr>
          <w:p w14:paraId="0D07D73A" w14:textId="77777777" w:rsidR="00F62A7A" w:rsidRPr="00E54798" w:rsidRDefault="00F62A7A" w:rsidP="006322D7">
            <w:pPr>
              <w:rPr>
                <w:bCs/>
              </w:rPr>
            </w:pPr>
            <w:r w:rsidRPr="00E54798">
              <w:rPr>
                <w:bCs/>
                <w:sz w:val="22"/>
                <w:szCs w:val="22"/>
              </w:rPr>
              <w:t>Estradiol</w:t>
            </w:r>
          </w:p>
        </w:tc>
      </w:tr>
      <w:tr w:rsidR="00F62A7A" w:rsidRPr="005144C0" w14:paraId="5BFD4FC4" w14:textId="77777777" w:rsidTr="00E80D2D">
        <w:tc>
          <w:tcPr>
            <w:tcW w:w="1100" w:type="dxa"/>
          </w:tcPr>
          <w:p w14:paraId="0C5A12C5" w14:textId="77777777" w:rsidR="00F62A7A" w:rsidRPr="00E54798" w:rsidRDefault="00F62A7A" w:rsidP="006322D7">
            <w:pPr>
              <w:rPr>
                <w:bCs/>
              </w:rPr>
            </w:pPr>
            <w:r w:rsidRPr="00E54798">
              <w:rPr>
                <w:bCs/>
                <w:sz w:val="22"/>
                <w:szCs w:val="22"/>
              </w:rPr>
              <w:t>83001</w:t>
            </w:r>
          </w:p>
        </w:tc>
        <w:tc>
          <w:tcPr>
            <w:tcW w:w="8435" w:type="dxa"/>
          </w:tcPr>
          <w:p w14:paraId="768EB687" w14:textId="77777777" w:rsidR="00F62A7A" w:rsidRPr="00E54798" w:rsidRDefault="00F62A7A" w:rsidP="006322D7">
            <w:pPr>
              <w:autoSpaceDE w:val="0"/>
              <w:autoSpaceDN w:val="0"/>
              <w:adjustRightInd w:val="0"/>
              <w:rPr>
                <w:color w:val="000000"/>
              </w:rPr>
            </w:pPr>
            <w:r w:rsidRPr="00E54798">
              <w:rPr>
                <w:color w:val="000000"/>
                <w:sz w:val="22"/>
                <w:szCs w:val="22"/>
              </w:rPr>
              <w:t>Gonadotropin; follicle stimulating hormone (FSH)</w:t>
            </w:r>
          </w:p>
        </w:tc>
      </w:tr>
      <w:tr w:rsidR="00F62A7A" w:rsidRPr="005144C0" w14:paraId="56FA2F04" w14:textId="77777777" w:rsidTr="00E80D2D">
        <w:tc>
          <w:tcPr>
            <w:tcW w:w="1100" w:type="dxa"/>
          </w:tcPr>
          <w:p w14:paraId="1FE9F808" w14:textId="77777777" w:rsidR="00F62A7A" w:rsidRPr="00E54798" w:rsidRDefault="00F62A7A" w:rsidP="006322D7">
            <w:pPr>
              <w:rPr>
                <w:bCs/>
              </w:rPr>
            </w:pPr>
            <w:r w:rsidRPr="00E54798">
              <w:rPr>
                <w:bCs/>
                <w:sz w:val="22"/>
                <w:szCs w:val="22"/>
              </w:rPr>
              <w:t>83002</w:t>
            </w:r>
          </w:p>
        </w:tc>
        <w:tc>
          <w:tcPr>
            <w:tcW w:w="8435" w:type="dxa"/>
          </w:tcPr>
          <w:p w14:paraId="6DDD1EF9" w14:textId="77777777" w:rsidR="00F62A7A" w:rsidRPr="00E54798" w:rsidRDefault="00F62A7A" w:rsidP="006322D7">
            <w:pPr>
              <w:autoSpaceDE w:val="0"/>
              <w:autoSpaceDN w:val="0"/>
              <w:adjustRightInd w:val="0"/>
              <w:rPr>
                <w:color w:val="000000"/>
              </w:rPr>
            </w:pPr>
            <w:r w:rsidRPr="00E54798">
              <w:rPr>
                <w:color w:val="000000"/>
                <w:sz w:val="22"/>
                <w:szCs w:val="22"/>
              </w:rPr>
              <w:t>Gonadotropin; luteinizing hormone (LH)</w:t>
            </w:r>
          </w:p>
        </w:tc>
      </w:tr>
      <w:tr w:rsidR="00F62A7A" w:rsidRPr="005144C0" w14:paraId="1AEDCA1D" w14:textId="77777777" w:rsidTr="00E80D2D">
        <w:tc>
          <w:tcPr>
            <w:tcW w:w="1100" w:type="dxa"/>
          </w:tcPr>
          <w:p w14:paraId="56EA9055" w14:textId="079C8AC4" w:rsidR="00F62A7A" w:rsidRPr="00E54798" w:rsidRDefault="00F62A7A" w:rsidP="00513E5A">
            <w:pPr>
              <w:rPr>
                <w:bCs/>
              </w:rPr>
            </w:pPr>
            <w:r w:rsidRPr="00E54798">
              <w:rPr>
                <w:bCs/>
                <w:sz w:val="22"/>
                <w:szCs w:val="22"/>
              </w:rPr>
              <w:t>841</w:t>
            </w:r>
            <w:r w:rsidR="00513E5A" w:rsidRPr="00E54798">
              <w:rPr>
                <w:bCs/>
                <w:sz w:val="22"/>
                <w:szCs w:val="22"/>
              </w:rPr>
              <w:t>4</w:t>
            </w:r>
            <w:r w:rsidRPr="00E54798">
              <w:rPr>
                <w:bCs/>
                <w:sz w:val="22"/>
                <w:szCs w:val="22"/>
              </w:rPr>
              <w:t>4</w:t>
            </w:r>
          </w:p>
        </w:tc>
        <w:tc>
          <w:tcPr>
            <w:tcW w:w="8435" w:type="dxa"/>
          </w:tcPr>
          <w:p w14:paraId="7FAFEB96" w14:textId="77777777" w:rsidR="00F62A7A" w:rsidRPr="00E54798" w:rsidRDefault="00F62A7A" w:rsidP="006322D7">
            <w:pPr>
              <w:autoSpaceDE w:val="0"/>
              <w:autoSpaceDN w:val="0"/>
              <w:adjustRightInd w:val="0"/>
              <w:rPr>
                <w:color w:val="000000"/>
              </w:rPr>
            </w:pPr>
            <w:r w:rsidRPr="00E54798">
              <w:rPr>
                <w:color w:val="000000"/>
                <w:sz w:val="22"/>
                <w:szCs w:val="22"/>
              </w:rPr>
              <w:t>Progesterone</w:t>
            </w:r>
          </w:p>
        </w:tc>
      </w:tr>
      <w:tr w:rsidR="00F62A7A" w:rsidRPr="005144C0" w14:paraId="34E0CBCB" w14:textId="77777777" w:rsidTr="00E80D2D">
        <w:tc>
          <w:tcPr>
            <w:tcW w:w="1100" w:type="dxa"/>
          </w:tcPr>
          <w:p w14:paraId="2F6F6E50" w14:textId="77777777" w:rsidR="00F62A7A" w:rsidRPr="00E54798" w:rsidRDefault="00F62A7A" w:rsidP="006322D7">
            <w:pPr>
              <w:rPr>
                <w:bCs/>
              </w:rPr>
            </w:pPr>
            <w:r w:rsidRPr="00E54798">
              <w:rPr>
                <w:bCs/>
                <w:sz w:val="22"/>
                <w:szCs w:val="22"/>
              </w:rPr>
              <w:t>84702</w:t>
            </w:r>
          </w:p>
        </w:tc>
        <w:tc>
          <w:tcPr>
            <w:tcW w:w="8435" w:type="dxa"/>
          </w:tcPr>
          <w:p w14:paraId="60E7BA3E" w14:textId="77777777" w:rsidR="00F62A7A" w:rsidRPr="00E54798" w:rsidRDefault="00F62A7A" w:rsidP="006322D7">
            <w:pPr>
              <w:autoSpaceDE w:val="0"/>
              <w:autoSpaceDN w:val="0"/>
              <w:adjustRightInd w:val="0"/>
              <w:rPr>
                <w:color w:val="000000"/>
              </w:rPr>
            </w:pPr>
            <w:r w:rsidRPr="00E54798">
              <w:rPr>
                <w:color w:val="000000"/>
                <w:sz w:val="22"/>
                <w:szCs w:val="22"/>
              </w:rPr>
              <w:t>Gonadotropin; chorionic (hCG); quant</w:t>
            </w:r>
            <w:r w:rsidR="00642C05" w:rsidRPr="00E54798">
              <w:rPr>
                <w:color w:val="000000"/>
                <w:sz w:val="22"/>
                <w:szCs w:val="22"/>
              </w:rPr>
              <w:t>it</w:t>
            </w:r>
            <w:r w:rsidRPr="00E54798">
              <w:rPr>
                <w:color w:val="000000"/>
                <w:sz w:val="22"/>
                <w:szCs w:val="22"/>
              </w:rPr>
              <w:t xml:space="preserve">ative </w:t>
            </w:r>
          </w:p>
        </w:tc>
      </w:tr>
      <w:tr w:rsidR="00F62A7A" w:rsidRPr="005144C0" w14:paraId="46F20D68" w14:textId="77777777" w:rsidTr="00E80D2D">
        <w:tc>
          <w:tcPr>
            <w:tcW w:w="1100" w:type="dxa"/>
          </w:tcPr>
          <w:p w14:paraId="2EF6FA79" w14:textId="77777777" w:rsidR="00F62A7A" w:rsidRPr="00E54798" w:rsidRDefault="00F62A7A" w:rsidP="006322D7">
            <w:pPr>
              <w:rPr>
                <w:bCs/>
              </w:rPr>
            </w:pPr>
            <w:r w:rsidRPr="00E54798">
              <w:rPr>
                <w:bCs/>
                <w:sz w:val="22"/>
                <w:szCs w:val="22"/>
              </w:rPr>
              <w:t>89250</w:t>
            </w:r>
          </w:p>
        </w:tc>
        <w:tc>
          <w:tcPr>
            <w:tcW w:w="8435" w:type="dxa"/>
          </w:tcPr>
          <w:p w14:paraId="53F3B19F" w14:textId="77777777" w:rsidR="00F62A7A" w:rsidRPr="0049532A" w:rsidRDefault="00F62A7A" w:rsidP="006322D7">
            <w:pPr>
              <w:autoSpaceDE w:val="0"/>
              <w:autoSpaceDN w:val="0"/>
              <w:adjustRightInd w:val="0"/>
              <w:rPr>
                <w:color w:val="000000"/>
              </w:rPr>
            </w:pPr>
            <w:r w:rsidRPr="00E54798">
              <w:rPr>
                <w:color w:val="000000"/>
                <w:sz w:val="22"/>
                <w:szCs w:val="22"/>
              </w:rPr>
              <w:t>Culture of oocyte(</w:t>
            </w:r>
            <w:r w:rsidRPr="009621CB">
              <w:rPr>
                <w:color w:val="000000"/>
                <w:sz w:val="22"/>
                <w:szCs w:val="22"/>
              </w:rPr>
              <w:t>s</w:t>
            </w:r>
            <w:r w:rsidRPr="0049532A">
              <w:rPr>
                <w:color w:val="000000"/>
                <w:sz w:val="22"/>
                <w:szCs w:val="22"/>
              </w:rPr>
              <w:t>)/embryo(s), less than 4 days</w:t>
            </w:r>
          </w:p>
        </w:tc>
      </w:tr>
      <w:tr w:rsidR="00F62A7A" w:rsidRPr="005144C0" w14:paraId="45701381" w14:textId="77777777" w:rsidTr="00E80D2D">
        <w:tc>
          <w:tcPr>
            <w:tcW w:w="1100" w:type="dxa"/>
          </w:tcPr>
          <w:p w14:paraId="4EF93728" w14:textId="77777777" w:rsidR="00F62A7A" w:rsidRPr="00E54798" w:rsidRDefault="00F62A7A" w:rsidP="006322D7">
            <w:pPr>
              <w:rPr>
                <w:bCs/>
              </w:rPr>
            </w:pPr>
            <w:r w:rsidRPr="00E54798">
              <w:rPr>
                <w:bCs/>
                <w:sz w:val="22"/>
                <w:szCs w:val="22"/>
              </w:rPr>
              <w:t>89251</w:t>
            </w:r>
          </w:p>
        </w:tc>
        <w:tc>
          <w:tcPr>
            <w:tcW w:w="8435" w:type="dxa"/>
          </w:tcPr>
          <w:p w14:paraId="49C5D458" w14:textId="77777777" w:rsidR="00F62A7A" w:rsidRPr="00A06489" w:rsidRDefault="00F62A7A" w:rsidP="006322D7">
            <w:pPr>
              <w:autoSpaceDE w:val="0"/>
              <w:autoSpaceDN w:val="0"/>
              <w:adjustRightInd w:val="0"/>
              <w:rPr>
                <w:color w:val="000000"/>
              </w:rPr>
            </w:pPr>
            <w:r w:rsidRPr="00E54798">
              <w:rPr>
                <w:color w:val="000000"/>
                <w:sz w:val="22"/>
                <w:szCs w:val="22"/>
              </w:rPr>
              <w:t>Culture of oocyte(s)/embryo(s), less than 4 days; with co-culture of oocyte(s)/embryos</w:t>
            </w:r>
          </w:p>
        </w:tc>
      </w:tr>
      <w:tr w:rsidR="00F62A7A" w:rsidRPr="005144C0" w14:paraId="4C6C0821" w14:textId="77777777" w:rsidTr="00E80D2D">
        <w:tc>
          <w:tcPr>
            <w:tcW w:w="1100" w:type="dxa"/>
          </w:tcPr>
          <w:p w14:paraId="77A9060A" w14:textId="77777777" w:rsidR="00F62A7A" w:rsidRPr="00E54798" w:rsidRDefault="00F62A7A" w:rsidP="006322D7">
            <w:pPr>
              <w:rPr>
                <w:bCs/>
              </w:rPr>
            </w:pPr>
            <w:r w:rsidRPr="00E54798">
              <w:rPr>
                <w:bCs/>
                <w:sz w:val="22"/>
                <w:szCs w:val="22"/>
              </w:rPr>
              <w:t>89254</w:t>
            </w:r>
          </w:p>
        </w:tc>
        <w:tc>
          <w:tcPr>
            <w:tcW w:w="8435" w:type="dxa"/>
          </w:tcPr>
          <w:p w14:paraId="2A59A718" w14:textId="77777777" w:rsidR="00F62A7A" w:rsidRPr="0049532A" w:rsidRDefault="00F62A7A" w:rsidP="006322D7">
            <w:pPr>
              <w:autoSpaceDE w:val="0"/>
              <w:autoSpaceDN w:val="0"/>
              <w:adjustRightInd w:val="0"/>
              <w:rPr>
                <w:color w:val="000000"/>
              </w:rPr>
            </w:pPr>
            <w:r w:rsidRPr="00E54798">
              <w:rPr>
                <w:color w:val="000000"/>
                <w:sz w:val="22"/>
                <w:szCs w:val="22"/>
              </w:rPr>
              <w:t>Oocyte identification from follicular f</w:t>
            </w:r>
            <w:r w:rsidRPr="009621CB">
              <w:rPr>
                <w:color w:val="000000"/>
                <w:sz w:val="22"/>
                <w:szCs w:val="22"/>
              </w:rPr>
              <w:t xml:space="preserve">luid </w:t>
            </w:r>
          </w:p>
        </w:tc>
      </w:tr>
      <w:tr w:rsidR="00F62A7A" w:rsidRPr="005144C0" w14:paraId="2CFCED67" w14:textId="77777777" w:rsidTr="00E80D2D">
        <w:tc>
          <w:tcPr>
            <w:tcW w:w="1100" w:type="dxa"/>
          </w:tcPr>
          <w:p w14:paraId="6780AD9B" w14:textId="77777777" w:rsidR="00F62A7A" w:rsidRPr="00E54798" w:rsidRDefault="00F62A7A" w:rsidP="006322D7">
            <w:pPr>
              <w:rPr>
                <w:bCs/>
              </w:rPr>
            </w:pPr>
            <w:r w:rsidRPr="00E54798">
              <w:rPr>
                <w:bCs/>
                <w:sz w:val="22"/>
                <w:szCs w:val="22"/>
              </w:rPr>
              <w:t>89258</w:t>
            </w:r>
          </w:p>
        </w:tc>
        <w:tc>
          <w:tcPr>
            <w:tcW w:w="8435" w:type="dxa"/>
          </w:tcPr>
          <w:p w14:paraId="4E91086C" w14:textId="77777777" w:rsidR="00F62A7A" w:rsidRPr="0049532A" w:rsidRDefault="00F62A7A" w:rsidP="006322D7">
            <w:pPr>
              <w:autoSpaceDE w:val="0"/>
              <w:autoSpaceDN w:val="0"/>
              <w:adjustRightInd w:val="0"/>
              <w:rPr>
                <w:color w:val="000000"/>
              </w:rPr>
            </w:pPr>
            <w:r w:rsidRPr="00E54798">
              <w:rPr>
                <w:color w:val="000000"/>
                <w:sz w:val="22"/>
                <w:szCs w:val="22"/>
              </w:rPr>
              <w:t>Cryopreservation, embryo(s) (freezing services, not storage</w:t>
            </w:r>
            <w:r w:rsidRPr="009621CB">
              <w:rPr>
                <w:color w:val="000000"/>
                <w:sz w:val="22"/>
                <w:szCs w:val="22"/>
              </w:rPr>
              <w:t>)</w:t>
            </w:r>
          </w:p>
        </w:tc>
      </w:tr>
      <w:tr w:rsidR="00F62A7A" w:rsidRPr="005144C0" w14:paraId="48826F09" w14:textId="77777777" w:rsidTr="00E80D2D">
        <w:tc>
          <w:tcPr>
            <w:tcW w:w="1100" w:type="dxa"/>
          </w:tcPr>
          <w:p w14:paraId="7E2C5DE8" w14:textId="77777777" w:rsidR="00F62A7A" w:rsidRPr="00E54798" w:rsidRDefault="00F62A7A" w:rsidP="006322D7">
            <w:pPr>
              <w:rPr>
                <w:bCs/>
              </w:rPr>
            </w:pPr>
            <w:r w:rsidRPr="00E54798">
              <w:rPr>
                <w:bCs/>
                <w:sz w:val="22"/>
                <w:szCs w:val="22"/>
              </w:rPr>
              <w:t>89259</w:t>
            </w:r>
          </w:p>
        </w:tc>
        <w:tc>
          <w:tcPr>
            <w:tcW w:w="8435" w:type="dxa"/>
          </w:tcPr>
          <w:p w14:paraId="071B9727" w14:textId="77777777" w:rsidR="00F62A7A" w:rsidRPr="00E54798" w:rsidRDefault="00F62A7A" w:rsidP="006322D7">
            <w:pPr>
              <w:autoSpaceDE w:val="0"/>
              <w:autoSpaceDN w:val="0"/>
              <w:adjustRightInd w:val="0"/>
              <w:rPr>
                <w:color w:val="000000"/>
              </w:rPr>
            </w:pPr>
            <w:r w:rsidRPr="00E54798">
              <w:rPr>
                <w:color w:val="000000"/>
                <w:sz w:val="22"/>
                <w:szCs w:val="22"/>
              </w:rPr>
              <w:t>Cryopreservation; sperm</w:t>
            </w:r>
          </w:p>
        </w:tc>
      </w:tr>
      <w:tr w:rsidR="00F62A7A" w:rsidRPr="005144C0" w14:paraId="684C3B88" w14:textId="77777777" w:rsidTr="00E80D2D">
        <w:tc>
          <w:tcPr>
            <w:tcW w:w="1100" w:type="dxa"/>
          </w:tcPr>
          <w:p w14:paraId="4EEA8B21" w14:textId="77777777" w:rsidR="00F62A7A" w:rsidRPr="00E54798" w:rsidRDefault="00F62A7A" w:rsidP="006322D7">
            <w:pPr>
              <w:rPr>
                <w:bCs/>
              </w:rPr>
            </w:pPr>
            <w:r w:rsidRPr="00E54798">
              <w:rPr>
                <w:bCs/>
                <w:sz w:val="22"/>
                <w:szCs w:val="22"/>
              </w:rPr>
              <w:t>89268</w:t>
            </w:r>
          </w:p>
        </w:tc>
        <w:tc>
          <w:tcPr>
            <w:tcW w:w="8435" w:type="dxa"/>
          </w:tcPr>
          <w:p w14:paraId="16E8492F" w14:textId="77777777" w:rsidR="00F62A7A" w:rsidRPr="00E54798" w:rsidRDefault="00F62A7A" w:rsidP="006322D7">
            <w:pPr>
              <w:autoSpaceDE w:val="0"/>
              <w:autoSpaceDN w:val="0"/>
              <w:adjustRightInd w:val="0"/>
              <w:rPr>
                <w:color w:val="000000"/>
              </w:rPr>
            </w:pPr>
            <w:r w:rsidRPr="00E54798">
              <w:rPr>
                <w:color w:val="000000"/>
                <w:sz w:val="22"/>
                <w:szCs w:val="22"/>
              </w:rPr>
              <w:t xml:space="preserve">Insemination of oocytes </w:t>
            </w:r>
          </w:p>
        </w:tc>
      </w:tr>
      <w:tr w:rsidR="00F62A7A" w:rsidRPr="005144C0" w14:paraId="5CC22FA8" w14:textId="77777777" w:rsidTr="00E80D2D">
        <w:tc>
          <w:tcPr>
            <w:tcW w:w="1100" w:type="dxa"/>
          </w:tcPr>
          <w:p w14:paraId="4F94B7BB" w14:textId="77777777" w:rsidR="00F62A7A" w:rsidRPr="00E54798" w:rsidRDefault="00F62A7A" w:rsidP="006322D7">
            <w:pPr>
              <w:rPr>
                <w:bCs/>
              </w:rPr>
            </w:pPr>
            <w:r w:rsidRPr="00E54798">
              <w:rPr>
                <w:bCs/>
                <w:sz w:val="22"/>
                <w:szCs w:val="22"/>
              </w:rPr>
              <w:t>89272</w:t>
            </w:r>
          </w:p>
        </w:tc>
        <w:tc>
          <w:tcPr>
            <w:tcW w:w="8435" w:type="dxa"/>
          </w:tcPr>
          <w:p w14:paraId="17596D48" w14:textId="77777777" w:rsidR="00F62A7A" w:rsidRPr="0049532A" w:rsidRDefault="00F62A7A" w:rsidP="006322D7">
            <w:pPr>
              <w:autoSpaceDE w:val="0"/>
              <w:autoSpaceDN w:val="0"/>
              <w:adjustRightInd w:val="0"/>
              <w:rPr>
                <w:color w:val="000000"/>
              </w:rPr>
            </w:pPr>
            <w:r w:rsidRPr="00E54798">
              <w:rPr>
                <w:color w:val="000000"/>
                <w:sz w:val="22"/>
                <w:szCs w:val="22"/>
              </w:rPr>
              <w:t>Extended culture of o</w:t>
            </w:r>
            <w:r w:rsidRPr="009621CB">
              <w:rPr>
                <w:color w:val="000000"/>
                <w:sz w:val="22"/>
                <w:szCs w:val="22"/>
              </w:rPr>
              <w:t>ocytes/</w:t>
            </w:r>
            <w:r w:rsidRPr="0049532A">
              <w:rPr>
                <w:color w:val="000000"/>
                <w:sz w:val="22"/>
                <w:szCs w:val="22"/>
              </w:rPr>
              <w:t xml:space="preserve">embryo(s), 4-7 days </w:t>
            </w:r>
          </w:p>
        </w:tc>
      </w:tr>
      <w:tr w:rsidR="00F62A7A" w:rsidRPr="005144C0" w14:paraId="54BCE07D" w14:textId="77777777" w:rsidTr="00E80D2D">
        <w:tc>
          <w:tcPr>
            <w:tcW w:w="1100" w:type="dxa"/>
          </w:tcPr>
          <w:p w14:paraId="20AB2B55" w14:textId="77777777" w:rsidR="00F62A7A" w:rsidRPr="00E54798" w:rsidRDefault="00F62A7A" w:rsidP="006322D7">
            <w:pPr>
              <w:rPr>
                <w:bCs/>
              </w:rPr>
            </w:pPr>
            <w:r w:rsidRPr="00E54798">
              <w:rPr>
                <w:bCs/>
                <w:sz w:val="22"/>
                <w:szCs w:val="22"/>
              </w:rPr>
              <w:t>89280</w:t>
            </w:r>
          </w:p>
        </w:tc>
        <w:tc>
          <w:tcPr>
            <w:tcW w:w="8435" w:type="dxa"/>
          </w:tcPr>
          <w:p w14:paraId="61AA138D" w14:textId="77777777" w:rsidR="00F62A7A" w:rsidRPr="00E54798" w:rsidRDefault="00F62A7A" w:rsidP="006322D7">
            <w:pPr>
              <w:autoSpaceDE w:val="0"/>
              <w:autoSpaceDN w:val="0"/>
              <w:adjustRightInd w:val="0"/>
              <w:rPr>
                <w:color w:val="000000"/>
              </w:rPr>
            </w:pPr>
            <w:r w:rsidRPr="00E54798">
              <w:rPr>
                <w:color w:val="000000"/>
                <w:sz w:val="22"/>
                <w:szCs w:val="22"/>
              </w:rPr>
              <w:t>Assisted oocyte fertilization, microtechnique; less than or equal to 10 oocytes</w:t>
            </w:r>
          </w:p>
        </w:tc>
      </w:tr>
      <w:tr w:rsidR="00F62A7A" w:rsidRPr="005144C0" w14:paraId="5C6791A7" w14:textId="77777777" w:rsidTr="00E80D2D">
        <w:tc>
          <w:tcPr>
            <w:tcW w:w="1100" w:type="dxa"/>
          </w:tcPr>
          <w:p w14:paraId="6CFCF433" w14:textId="77777777" w:rsidR="00F62A7A" w:rsidRPr="00E54798" w:rsidRDefault="00F62A7A" w:rsidP="006322D7">
            <w:pPr>
              <w:rPr>
                <w:bCs/>
              </w:rPr>
            </w:pPr>
            <w:r w:rsidRPr="00E54798">
              <w:rPr>
                <w:bCs/>
                <w:sz w:val="22"/>
                <w:szCs w:val="22"/>
              </w:rPr>
              <w:t>89281</w:t>
            </w:r>
          </w:p>
        </w:tc>
        <w:tc>
          <w:tcPr>
            <w:tcW w:w="8435" w:type="dxa"/>
          </w:tcPr>
          <w:p w14:paraId="3F312BBC" w14:textId="77777777" w:rsidR="00F62A7A" w:rsidRPr="00E54798" w:rsidRDefault="00F62A7A" w:rsidP="006322D7">
            <w:pPr>
              <w:autoSpaceDE w:val="0"/>
              <w:autoSpaceDN w:val="0"/>
              <w:adjustRightInd w:val="0"/>
              <w:rPr>
                <w:color w:val="000000"/>
              </w:rPr>
            </w:pPr>
            <w:r w:rsidRPr="00E54798">
              <w:rPr>
                <w:color w:val="000000"/>
                <w:sz w:val="22"/>
                <w:szCs w:val="22"/>
              </w:rPr>
              <w:t>Assisted oocyte fertilization, microtechnique; greater than 10 oocytes</w:t>
            </w:r>
          </w:p>
        </w:tc>
      </w:tr>
      <w:tr w:rsidR="00F62A7A" w:rsidRPr="005144C0" w14:paraId="038E5892" w14:textId="77777777" w:rsidTr="00E80D2D">
        <w:tc>
          <w:tcPr>
            <w:tcW w:w="1100" w:type="dxa"/>
          </w:tcPr>
          <w:p w14:paraId="0C4BA304" w14:textId="77777777" w:rsidR="00F62A7A" w:rsidRPr="00E54798" w:rsidRDefault="00F62A7A" w:rsidP="006322D7">
            <w:pPr>
              <w:rPr>
                <w:bCs/>
              </w:rPr>
            </w:pPr>
            <w:r w:rsidRPr="00E54798">
              <w:rPr>
                <w:bCs/>
                <w:sz w:val="22"/>
                <w:szCs w:val="22"/>
              </w:rPr>
              <w:t>89320</w:t>
            </w:r>
          </w:p>
        </w:tc>
        <w:tc>
          <w:tcPr>
            <w:tcW w:w="8435" w:type="dxa"/>
          </w:tcPr>
          <w:p w14:paraId="4CB980C8" w14:textId="77777777" w:rsidR="00F62A7A" w:rsidRPr="00A06489" w:rsidRDefault="00F62A7A" w:rsidP="006322D7">
            <w:pPr>
              <w:autoSpaceDE w:val="0"/>
              <w:autoSpaceDN w:val="0"/>
              <w:adjustRightInd w:val="0"/>
              <w:rPr>
                <w:color w:val="000000"/>
              </w:rPr>
            </w:pPr>
            <w:r w:rsidRPr="00A06489">
              <w:rPr>
                <w:color w:val="000000"/>
                <w:sz w:val="22"/>
                <w:szCs w:val="22"/>
              </w:rPr>
              <w:t>Semen analysis; volume, count motility and differential</w:t>
            </w:r>
          </w:p>
        </w:tc>
      </w:tr>
      <w:tr w:rsidR="00F62A7A" w:rsidRPr="005144C0" w14:paraId="163A7082" w14:textId="77777777" w:rsidTr="00E80D2D">
        <w:tc>
          <w:tcPr>
            <w:tcW w:w="1100" w:type="dxa"/>
          </w:tcPr>
          <w:p w14:paraId="06E87956" w14:textId="77777777" w:rsidR="00F62A7A" w:rsidRPr="00E54798" w:rsidRDefault="00F62A7A" w:rsidP="006322D7">
            <w:r w:rsidRPr="00E54798">
              <w:rPr>
                <w:sz w:val="22"/>
                <w:szCs w:val="22"/>
              </w:rPr>
              <w:t>89337</w:t>
            </w:r>
          </w:p>
        </w:tc>
        <w:tc>
          <w:tcPr>
            <w:tcW w:w="8435" w:type="dxa"/>
          </w:tcPr>
          <w:p w14:paraId="1F8396BC" w14:textId="77777777" w:rsidR="00F62A7A" w:rsidRPr="00E54798" w:rsidRDefault="00F62A7A" w:rsidP="006322D7">
            <w:pPr>
              <w:rPr>
                <w:bCs/>
              </w:rPr>
            </w:pPr>
            <w:r w:rsidRPr="00E54798">
              <w:rPr>
                <w:bCs/>
                <w:sz w:val="22"/>
                <w:szCs w:val="22"/>
              </w:rPr>
              <w:t>Cryopreservation, mature oocyte(s)</w:t>
            </w:r>
          </w:p>
        </w:tc>
      </w:tr>
      <w:tr w:rsidR="00F62A7A" w:rsidRPr="005144C0" w14:paraId="294C1329" w14:textId="77777777" w:rsidTr="00E80D2D">
        <w:tc>
          <w:tcPr>
            <w:tcW w:w="1100" w:type="dxa"/>
          </w:tcPr>
          <w:p w14:paraId="5AFAE645" w14:textId="77777777" w:rsidR="00F62A7A" w:rsidRPr="00E54798" w:rsidRDefault="00F62A7A" w:rsidP="006322D7">
            <w:pPr>
              <w:rPr>
                <w:bCs/>
              </w:rPr>
            </w:pPr>
            <w:r w:rsidRPr="00E54798">
              <w:rPr>
                <w:bCs/>
                <w:sz w:val="22"/>
                <w:szCs w:val="22"/>
              </w:rPr>
              <w:t>89352</w:t>
            </w:r>
          </w:p>
        </w:tc>
        <w:tc>
          <w:tcPr>
            <w:tcW w:w="8435" w:type="dxa"/>
          </w:tcPr>
          <w:p w14:paraId="6660C400" w14:textId="77777777" w:rsidR="00F62A7A" w:rsidRPr="00E54798" w:rsidRDefault="00F62A7A" w:rsidP="006322D7">
            <w:pPr>
              <w:autoSpaceDE w:val="0"/>
              <w:autoSpaceDN w:val="0"/>
              <w:adjustRightInd w:val="0"/>
              <w:rPr>
                <w:color w:val="000000"/>
              </w:rPr>
            </w:pPr>
            <w:r w:rsidRPr="00E54798">
              <w:rPr>
                <w:color w:val="000000"/>
                <w:sz w:val="22"/>
                <w:szCs w:val="22"/>
              </w:rPr>
              <w:t>Thawing of cryopreserved; embryo(s)</w:t>
            </w:r>
          </w:p>
        </w:tc>
      </w:tr>
      <w:tr w:rsidR="00F62A7A" w:rsidRPr="005144C0" w14:paraId="75D8B731" w14:textId="77777777" w:rsidTr="00E80D2D">
        <w:tc>
          <w:tcPr>
            <w:tcW w:w="1100" w:type="dxa"/>
          </w:tcPr>
          <w:p w14:paraId="6687D998" w14:textId="77777777" w:rsidR="00F62A7A" w:rsidRPr="00E54798" w:rsidRDefault="00F62A7A" w:rsidP="006322D7">
            <w:pPr>
              <w:rPr>
                <w:bCs/>
              </w:rPr>
            </w:pPr>
            <w:r w:rsidRPr="00E54798">
              <w:rPr>
                <w:bCs/>
                <w:sz w:val="22"/>
                <w:szCs w:val="22"/>
              </w:rPr>
              <w:t>89353</w:t>
            </w:r>
          </w:p>
        </w:tc>
        <w:tc>
          <w:tcPr>
            <w:tcW w:w="8435" w:type="dxa"/>
          </w:tcPr>
          <w:p w14:paraId="04B383EC" w14:textId="77777777" w:rsidR="00F62A7A" w:rsidRPr="00E54798" w:rsidRDefault="00F62A7A" w:rsidP="006322D7">
            <w:pPr>
              <w:autoSpaceDE w:val="0"/>
              <w:autoSpaceDN w:val="0"/>
              <w:adjustRightInd w:val="0"/>
              <w:rPr>
                <w:color w:val="000000"/>
              </w:rPr>
            </w:pPr>
            <w:r w:rsidRPr="00E54798">
              <w:rPr>
                <w:color w:val="000000"/>
                <w:sz w:val="22"/>
                <w:szCs w:val="22"/>
              </w:rPr>
              <w:t>Thawing of cryopreserved; sperm/semen, each aliquot</w:t>
            </w:r>
          </w:p>
        </w:tc>
      </w:tr>
      <w:tr w:rsidR="00F62A7A" w:rsidRPr="005144C0" w14:paraId="26F91CF4" w14:textId="77777777" w:rsidTr="00E80D2D">
        <w:tc>
          <w:tcPr>
            <w:tcW w:w="1100" w:type="dxa"/>
          </w:tcPr>
          <w:p w14:paraId="15F8D76D" w14:textId="77777777" w:rsidR="00F62A7A" w:rsidRPr="00E54798" w:rsidRDefault="00F62A7A" w:rsidP="006322D7">
            <w:pPr>
              <w:rPr>
                <w:bCs/>
              </w:rPr>
            </w:pPr>
            <w:r w:rsidRPr="00E54798">
              <w:rPr>
                <w:bCs/>
                <w:sz w:val="22"/>
                <w:szCs w:val="22"/>
              </w:rPr>
              <w:t>99000</w:t>
            </w:r>
          </w:p>
        </w:tc>
        <w:tc>
          <w:tcPr>
            <w:tcW w:w="8435" w:type="dxa"/>
          </w:tcPr>
          <w:p w14:paraId="066D378F" w14:textId="77BBAFEA" w:rsidR="00F62A7A" w:rsidRPr="00E54798" w:rsidRDefault="00F62A7A" w:rsidP="006322D7">
            <w:pPr>
              <w:autoSpaceDE w:val="0"/>
              <w:autoSpaceDN w:val="0"/>
              <w:adjustRightInd w:val="0"/>
              <w:rPr>
                <w:color w:val="000000"/>
              </w:rPr>
            </w:pPr>
            <w:r w:rsidRPr="00E54798">
              <w:rPr>
                <w:color w:val="000000"/>
                <w:sz w:val="22"/>
                <w:szCs w:val="22"/>
              </w:rPr>
              <w:t xml:space="preserve">Handling and/or conveyance of specimen for transfer from office to </w:t>
            </w:r>
            <w:r w:rsidR="00513E5A" w:rsidRPr="00E54798">
              <w:rPr>
                <w:color w:val="000000"/>
                <w:sz w:val="22"/>
                <w:szCs w:val="22"/>
              </w:rPr>
              <w:t>a laboratory</w:t>
            </w:r>
          </w:p>
        </w:tc>
      </w:tr>
      <w:tr w:rsidR="00F62A7A" w:rsidRPr="005144C0" w14:paraId="582D2326" w14:textId="77777777" w:rsidTr="00E80D2D">
        <w:tc>
          <w:tcPr>
            <w:tcW w:w="1100" w:type="dxa"/>
          </w:tcPr>
          <w:p w14:paraId="3DD8725D" w14:textId="77777777" w:rsidR="00F62A7A" w:rsidRPr="00E54798" w:rsidRDefault="00F62A7A" w:rsidP="006322D7">
            <w:pPr>
              <w:rPr>
                <w:bCs/>
              </w:rPr>
            </w:pPr>
            <w:r w:rsidRPr="00E54798">
              <w:rPr>
                <w:bCs/>
                <w:sz w:val="22"/>
                <w:szCs w:val="22"/>
              </w:rPr>
              <w:t>99001</w:t>
            </w:r>
          </w:p>
        </w:tc>
        <w:tc>
          <w:tcPr>
            <w:tcW w:w="8435" w:type="dxa"/>
          </w:tcPr>
          <w:p w14:paraId="33A83CB1" w14:textId="77777777" w:rsidR="00F62A7A" w:rsidRPr="00A06489" w:rsidRDefault="00F62A7A" w:rsidP="006322D7">
            <w:pPr>
              <w:autoSpaceDE w:val="0"/>
              <w:autoSpaceDN w:val="0"/>
              <w:adjustRightInd w:val="0"/>
              <w:rPr>
                <w:color w:val="000000"/>
              </w:rPr>
            </w:pPr>
            <w:r w:rsidRPr="00E54798">
              <w:rPr>
                <w:color w:val="000000"/>
                <w:sz w:val="22"/>
                <w:szCs w:val="22"/>
              </w:rPr>
              <w:t xml:space="preserve">Handling and/or conveyance of specimen for transfer from the patient in other than an office to a laboratory (distance may be indicated) </w:t>
            </w:r>
          </w:p>
        </w:tc>
      </w:tr>
      <w:tr w:rsidR="00F62A7A" w:rsidRPr="005144C0" w14:paraId="5F719FF8" w14:textId="77777777" w:rsidTr="00E80D2D">
        <w:tc>
          <w:tcPr>
            <w:tcW w:w="1100" w:type="dxa"/>
          </w:tcPr>
          <w:p w14:paraId="56AA4245" w14:textId="77777777" w:rsidR="00F62A7A" w:rsidRPr="00E54798" w:rsidRDefault="00F62A7A" w:rsidP="006322D7">
            <w:pPr>
              <w:rPr>
                <w:bCs/>
              </w:rPr>
            </w:pPr>
            <w:r w:rsidRPr="00E54798">
              <w:rPr>
                <w:bCs/>
                <w:sz w:val="22"/>
                <w:szCs w:val="22"/>
              </w:rPr>
              <w:t>99070</w:t>
            </w:r>
          </w:p>
        </w:tc>
        <w:tc>
          <w:tcPr>
            <w:tcW w:w="8435" w:type="dxa"/>
          </w:tcPr>
          <w:p w14:paraId="5CBD2642" w14:textId="77777777" w:rsidR="00F62A7A" w:rsidRPr="00A06489" w:rsidRDefault="00F62A7A" w:rsidP="006322D7">
            <w:pPr>
              <w:autoSpaceDE w:val="0"/>
              <w:autoSpaceDN w:val="0"/>
              <w:adjustRightInd w:val="0"/>
              <w:rPr>
                <w:color w:val="000000"/>
              </w:rPr>
            </w:pPr>
            <w:r w:rsidRPr="00E54798">
              <w:rPr>
                <w:color w:val="000000"/>
                <w:sz w:val="22"/>
                <w:szCs w:val="22"/>
              </w:rPr>
              <w:t xml:space="preserve">Supplies and materials (except spectacles), provided by the physician or other qualified health care professional over and above those usually included with the office visit or other services rendered (list drugs, trays, supplies, or materials provided) </w:t>
            </w:r>
          </w:p>
        </w:tc>
      </w:tr>
      <w:tr w:rsidR="00F62A7A" w:rsidRPr="005144C0" w14:paraId="69138539" w14:textId="77777777" w:rsidTr="00E80D2D">
        <w:tc>
          <w:tcPr>
            <w:tcW w:w="1100" w:type="dxa"/>
          </w:tcPr>
          <w:p w14:paraId="2512DFD0" w14:textId="77777777" w:rsidR="00F62A7A" w:rsidRPr="00E54798" w:rsidRDefault="00F62A7A" w:rsidP="006322D7">
            <w:pPr>
              <w:rPr>
                <w:bCs/>
              </w:rPr>
            </w:pPr>
            <w:r w:rsidRPr="00E54798">
              <w:rPr>
                <w:bCs/>
                <w:sz w:val="22"/>
                <w:szCs w:val="22"/>
              </w:rPr>
              <w:t>99078</w:t>
            </w:r>
          </w:p>
        </w:tc>
        <w:tc>
          <w:tcPr>
            <w:tcW w:w="8435" w:type="dxa"/>
          </w:tcPr>
          <w:p w14:paraId="6020E58F" w14:textId="77777777" w:rsidR="00F62A7A" w:rsidRPr="00A06489" w:rsidRDefault="00F62A7A" w:rsidP="006322D7">
            <w:pPr>
              <w:autoSpaceDE w:val="0"/>
              <w:autoSpaceDN w:val="0"/>
              <w:adjustRightInd w:val="0"/>
              <w:rPr>
                <w:color w:val="000000"/>
              </w:rPr>
            </w:pPr>
            <w:r w:rsidRPr="00E54798">
              <w:rPr>
                <w:color w:val="000000"/>
                <w:sz w:val="22"/>
                <w:szCs w:val="22"/>
              </w:rPr>
              <w:t xml:space="preserve">Physician or other qualified health care professional qualified by education, training, licensure/regulation (when applicable) educational  services in a group setting (eg, prenatal, obesity, or diabetic instructions) </w:t>
            </w:r>
          </w:p>
        </w:tc>
      </w:tr>
      <w:tr w:rsidR="00F62A7A" w:rsidRPr="005144C0" w14:paraId="43E66934" w14:textId="77777777" w:rsidTr="00E80D2D">
        <w:tc>
          <w:tcPr>
            <w:tcW w:w="1100" w:type="dxa"/>
          </w:tcPr>
          <w:p w14:paraId="2CEAD997" w14:textId="77777777" w:rsidR="00F62A7A" w:rsidRPr="00E54798" w:rsidRDefault="00F62A7A" w:rsidP="006322D7">
            <w:pPr>
              <w:rPr>
                <w:bCs/>
              </w:rPr>
            </w:pPr>
            <w:r w:rsidRPr="00E54798">
              <w:rPr>
                <w:bCs/>
                <w:sz w:val="22"/>
                <w:szCs w:val="22"/>
              </w:rPr>
              <w:t>99199</w:t>
            </w:r>
          </w:p>
        </w:tc>
        <w:tc>
          <w:tcPr>
            <w:tcW w:w="8435" w:type="dxa"/>
          </w:tcPr>
          <w:p w14:paraId="48AA2F53" w14:textId="77777777" w:rsidR="00F62A7A" w:rsidRPr="00E54798" w:rsidRDefault="00F62A7A" w:rsidP="006322D7">
            <w:pPr>
              <w:autoSpaceDE w:val="0"/>
              <w:autoSpaceDN w:val="0"/>
              <w:adjustRightInd w:val="0"/>
              <w:rPr>
                <w:color w:val="000000"/>
              </w:rPr>
            </w:pPr>
            <w:r w:rsidRPr="00E54798">
              <w:rPr>
                <w:color w:val="000000"/>
                <w:sz w:val="22"/>
                <w:szCs w:val="22"/>
              </w:rPr>
              <w:t xml:space="preserve">Unlisted special service, procedure or report </w:t>
            </w:r>
          </w:p>
        </w:tc>
      </w:tr>
    </w:tbl>
    <w:p w14:paraId="795ED8DD" w14:textId="77777777" w:rsidR="009A1963" w:rsidRDefault="009A1963" w:rsidP="00AF5490"/>
    <w:tbl>
      <w:tblPr>
        <w:tblW w:w="50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885"/>
        <w:gridCol w:w="7650"/>
      </w:tblGrid>
      <w:tr w:rsidR="009A1963" w:rsidRPr="00B777AF" w14:paraId="65F98D36" w14:textId="77777777" w:rsidTr="00E80D2D">
        <w:trPr>
          <w:tblHeader/>
        </w:trPr>
        <w:tc>
          <w:tcPr>
            <w:tcW w:w="1885" w:type="dxa"/>
            <w:shd w:val="clear" w:color="auto" w:fill="00548C"/>
          </w:tcPr>
          <w:p w14:paraId="46B2827B" w14:textId="77777777" w:rsidR="009A1963" w:rsidRPr="00B26BB1" w:rsidRDefault="009A1963" w:rsidP="00556CBA">
            <w:pPr>
              <w:rPr>
                <w:b/>
                <w:bCs/>
                <w:color w:val="FFFFFF"/>
              </w:rPr>
            </w:pPr>
            <w:r w:rsidRPr="00B26BB1">
              <w:rPr>
                <w:b/>
                <w:color w:val="FFFFFF"/>
              </w:rPr>
              <w:lastRenderedPageBreak/>
              <w:t xml:space="preserve">HCPCS Codes </w:t>
            </w:r>
          </w:p>
        </w:tc>
        <w:tc>
          <w:tcPr>
            <w:tcW w:w="7650" w:type="dxa"/>
            <w:shd w:val="clear" w:color="auto" w:fill="00548C"/>
          </w:tcPr>
          <w:p w14:paraId="49448D9D" w14:textId="77777777" w:rsidR="009A1963" w:rsidRPr="00B26BB1" w:rsidRDefault="009A1963" w:rsidP="00556CBA">
            <w:pPr>
              <w:rPr>
                <w:b/>
                <w:bCs/>
                <w:color w:val="FFFFFF"/>
              </w:rPr>
            </w:pPr>
            <w:r w:rsidRPr="00B26BB1">
              <w:rPr>
                <w:b/>
                <w:color w:val="FFFFFF"/>
              </w:rPr>
              <w:t>Description</w:t>
            </w:r>
          </w:p>
        </w:tc>
      </w:tr>
      <w:tr w:rsidR="009A1963" w:rsidRPr="00034AA4" w14:paraId="7A834AB4" w14:textId="77777777" w:rsidTr="00E80D2D">
        <w:tc>
          <w:tcPr>
            <w:tcW w:w="1885" w:type="dxa"/>
          </w:tcPr>
          <w:p w14:paraId="31AB2DE7" w14:textId="77777777" w:rsidR="009A1963" w:rsidRPr="00034AA4" w:rsidRDefault="009A1963" w:rsidP="00556CBA">
            <w:pPr>
              <w:rPr>
                <w:bCs/>
              </w:rPr>
            </w:pPr>
            <w:r w:rsidRPr="00034AA4">
              <w:rPr>
                <w:bCs/>
                <w:sz w:val="22"/>
                <w:szCs w:val="22"/>
              </w:rPr>
              <w:t>S4030</w:t>
            </w:r>
          </w:p>
        </w:tc>
        <w:tc>
          <w:tcPr>
            <w:tcW w:w="7650" w:type="dxa"/>
          </w:tcPr>
          <w:p w14:paraId="0F0CD63B" w14:textId="77777777" w:rsidR="009A1963" w:rsidRPr="00034AA4" w:rsidRDefault="009A1963" w:rsidP="00AE4F43">
            <w:pPr>
              <w:pStyle w:val="Heading3"/>
              <w:rPr>
                <w:b w:val="0"/>
                <w:bCs w:val="0"/>
              </w:rPr>
            </w:pPr>
            <w:r w:rsidRPr="00034AA4">
              <w:rPr>
                <w:b w:val="0"/>
                <w:bCs w:val="0"/>
                <w:sz w:val="22"/>
                <w:szCs w:val="22"/>
              </w:rPr>
              <w:t>Sperm procurement and cryopreservation services; initial visit</w:t>
            </w:r>
          </w:p>
        </w:tc>
      </w:tr>
      <w:tr w:rsidR="009A1963" w:rsidRPr="00034AA4" w14:paraId="1EEBF4C3" w14:textId="77777777" w:rsidTr="00E80D2D">
        <w:tc>
          <w:tcPr>
            <w:tcW w:w="1885" w:type="dxa"/>
          </w:tcPr>
          <w:p w14:paraId="19D5E137" w14:textId="77777777" w:rsidR="009A1963" w:rsidRPr="00034AA4" w:rsidRDefault="009A1963" w:rsidP="00556CBA">
            <w:pPr>
              <w:rPr>
                <w:bCs/>
              </w:rPr>
            </w:pPr>
            <w:r w:rsidRPr="00034AA4">
              <w:rPr>
                <w:bCs/>
                <w:sz w:val="22"/>
                <w:szCs w:val="22"/>
              </w:rPr>
              <w:t>S4031</w:t>
            </w:r>
          </w:p>
        </w:tc>
        <w:tc>
          <w:tcPr>
            <w:tcW w:w="7650" w:type="dxa"/>
          </w:tcPr>
          <w:p w14:paraId="3D2DBE57" w14:textId="77777777" w:rsidR="009A1963" w:rsidRPr="00034AA4" w:rsidRDefault="009A1963" w:rsidP="00AE4F43">
            <w:pPr>
              <w:pStyle w:val="Heading3"/>
              <w:rPr>
                <w:b w:val="0"/>
                <w:bCs w:val="0"/>
              </w:rPr>
            </w:pPr>
            <w:r w:rsidRPr="00034AA4">
              <w:rPr>
                <w:b w:val="0"/>
                <w:bCs w:val="0"/>
                <w:sz w:val="22"/>
                <w:szCs w:val="22"/>
              </w:rPr>
              <w:t>Sperm procurement and cryopreservation services; subsequent visit</w:t>
            </w:r>
          </w:p>
        </w:tc>
      </w:tr>
    </w:tbl>
    <w:p w14:paraId="5D19988E" w14:textId="77777777" w:rsidR="009A1963" w:rsidRDefault="009A1963" w:rsidP="00AF5490">
      <w:pPr>
        <w:rPr>
          <w:sz w:val="22"/>
          <w:szCs w:val="22"/>
        </w:rPr>
      </w:pPr>
    </w:p>
    <w:p w14:paraId="39FE76DF" w14:textId="77777777" w:rsidR="00F62A7A" w:rsidRPr="00F62A7A" w:rsidRDefault="00F62A7A" w:rsidP="00F62A7A">
      <w:pPr>
        <w:rPr>
          <w:b/>
        </w:rPr>
      </w:pPr>
      <w:r>
        <w:rPr>
          <w:b/>
        </w:rPr>
        <w:t>CPT C</w:t>
      </w:r>
      <w:r w:rsidRPr="00F62A7A">
        <w:rPr>
          <w:b/>
        </w:rPr>
        <w:t xml:space="preserve">odes </w:t>
      </w:r>
      <w:r>
        <w:rPr>
          <w:b/>
        </w:rPr>
        <w:t>C</w:t>
      </w:r>
      <w:r w:rsidRPr="00F62A7A">
        <w:rPr>
          <w:b/>
        </w:rPr>
        <w:t xml:space="preserve">onsidered </w:t>
      </w:r>
      <w:r>
        <w:rPr>
          <w:b/>
        </w:rPr>
        <w:t>I</w:t>
      </w:r>
      <w:r w:rsidRPr="00F62A7A">
        <w:rPr>
          <w:b/>
        </w:rPr>
        <w:t xml:space="preserve">nvestigational </w:t>
      </w:r>
    </w:p>
    <w:tbl>
      <w:tblPr>
        <w:tblW w:w="51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885"/>
        <w:gridCol w:w="7740"/>
      </w:tblGrid>
      <w:tr w:rsidR="00F62A7A" w:rsidRPr="00B777AF" w14:paraId="0F004292" w14:textId="77777777" w:rsidTr="00E80D2D">
        <w:trPr>
          <w:tblHeader/>
        </w:trPr>
        <w:tc>
          <w:tcPr>
            <w:tcW w:w="1885" w:type="dxa"/>
            <w:shd w:val="clear" w:color="auto" w:fill="00548C"/>
          </w:tcPr>
          <w:p w14:paraId="72232971" w14:textId="77777777" w:rsidR="00F62A7A" w:rsidRPr="00B26BB1" w:rsidRDefault="00F62A7A" w:rsidP="006322D7">
            <w:pPr>
              <w:rPr>
                <w:b/>
                <w:bCs/>
                <w:color w:val="FFFFFF"/>
              </w:rPr>
            </w:pPr>
            <w:r w:rsidRPr="00B26BB1">
              <w:rPr>
                <w:b/>
                <w:color w:val="FFFFFF"/>
              </w:rPr>
              <w:t>CPT</w:t>
            </w:r>
            <w:r w:rsidRPr="00B26BB1">
              <w:rPr>
                <w:b/>
                <w:color w:val="FFFFFF"/>
                <w:vertAlign w:val="superscript"/>
              </w:rPr>
              <w:t>®</w:t>
            </w:r>
            <w:r w:rsidRPr="00B26BB1">
              <w:rPr>
                <w:b/>
                <w:color w:val="FFFFFF"/>
              </w:rPr>
              <w:t xml:space="preserve"> Codes </w:t>
            </w:r>
          </w:p>
        </w:tc>
        <w:tc>
          <w:tcPr>
            <w:tcW w:w="7740" w:type="dxa"/>
            <w:shd w:val="clear" w:color="auto" w:fill="00548C"/>
          </w:tcPr>
          <w:p w14:paraId="49F9CB7C" w14:textId="77777777" w:rsidR="00F62A7A" w:rsidRPr="00B26BB1" w:rsidRDefault="00F62A7A" w:rsidP="006322D7">
            <w:pPr>
              <w:rPr>
                <w:b/>
                <w:bCs/>
                <w:color w:val="FFFFFF"/>
              </w:rPr>
            </w:pPr>
            <w:r w:rsidRPr="00B26BB1">
              <w:rPr>
                <w:b/>
                <w:color w:val="FFFFFF"/>
              </w:rPr>
              <w:t>Description</w:t>
            </w:r>
          </w:p>
        </w:tc>
      </w:tr>
      <w:tr w:rsidR="00F62A7A" w:rsidRPr="005144C0" w14:paraId="4966F0FF" w14:textId="77777777" w:rsidTr="00E80D2D">
        <w:tc>
          <w:tcPr>
            <w:tcW w:w="1885" w:type="dxa"/>
          </w:tcPr>
          <w:p w14:paraId="18068B72" w14:textId="77777777" w:rsidR="00F62A7A" w:rsidRPr="00B045C7" w:rsidRDefault="00F62A7A" w:rsidP="006322D7">
            <w:r w:rsidRPr="00B045C7">
              <w:rPr>
                <w:sz w:val="22"/>
                <w:szCs w:val="22"/>
              </w:rPr>
              <w:t>0357T</w:t>
            </w:r>
          </w:p>
        </w:tc>
        <w:tc>
          <w:tcPr>
            <w:tcW w:w="7740" w:type="dxa"/>
          </w:tcPr>
          <w:p w14:paraId="4E2054ED" w14:textId="77777777" w:rsidR="00F62A7A" w:rsidRPr="00B045C7" w:rsidRDefault="00F62A7A" w:rsidP="006322D7">
            <w:r w:rsidRPr="00B045C7">
              <w:rPr>
                <w:bCs/>
                <w:sz w:val="22"/>
                <w:szCs w:val="22"/>
              </w:rPr>
              <w:t>Cryopreservation; immature oocyte(s)</w:t>
            </w:r>
          </w:p>
        </w:tc>
      </w:tr>
      <w:tr w:rsidR="00F62A7A" w:rsidRPr="005144C0" w14:paraId="356E1E0B" w14:textId="77777777" w:rsidTr="00E80D2D">
        <w:tc>
          <w:tcPr>
            <w:tcW w:w="1885" w:type="dxa"/>
          </w:tcPr>
          <w:p w14:paraId="0D384BDE" w14:textId="77777777" w:rsidR="00F62A7A" w:rsidRPr="001D3155" w:rsidRDefault="00F62A7A" w:rsidP="006322D7">
            <w:pPr>
              <w:pStyle w:val="Heading3"/>
              <w:rPr>
                <w:b w:val="0"/>
                <w:bCs w:val="0"/>
                <w:highlight w:val="yellow"/>
              </w:rPr>
            </w:pPr>
            <w:r w:rsidRPr="00B045C7">
              <w:rPr>
                <w:b w:val="0"/>
                <w:bCs w:val="0"/>
                <w:sz w:val="22"/>
                <w:szCs w:val="22"/>
              </w:rPr>
              <w:t>89335</w:t>
            </w:r>
          </w:p>
        </w:tc>
        <w:tc>
          <w:tcPr>
            <w:tcW w:w="7740" w:type="dxa"/>
          </w:tcPr>
          <w:p w14:paraId="43C34656" w14:textId="1B842579" w:rsidR="00F62A7A" w:rsidRPr="00B045C7" w:rsidRDefault="00F62A7A" w:rsidP="00513E5A">
            <w:pPr>
              <w:pStyle w:val="Heading3"/>
              <w:rPr>
                <w:b w:val="0"/>
                <w:bCs w:val="0"/>
              </w:rPr>
            </w:pPr>
            <w:r w:rsidRPr="00B045C7">
              <w:rPr>
                <w:b w:val="0"/>
                <w:bCs w:val="0"/>
                <w:sz w:val="22"/>
                <w:szCs w:val="22"/>
              </w:rPr>
              <w:t>Cryopreservation, reproductive tissue, testicular</w:t>
            </w:r>
          </w:p>
        </w:tc>
      </w:tr>
      <w:tr w:rsidR="00F62A7A" w:rsidRPr="005144C0" w14:paraId="336CF7BB" w14:textId="77777777" w:rsidTr="00E80D2D">
        <w:tc>
          <w:tcPr>
            <w:tcW w:w="1885" w:type="dxa"/>
          </w:tcPr>
          <w:p w14:paraId="5C836CCD" w14:textId="77777777" w:rsidR="00F62A7A" w:rsidRPr="001D3155" w:rsidRDefault="00F62A7A" w:rsidP="006322D7">
            <w:pPr>
              <w:pStyle w:val="Heading3"/>
              <w:rPr>
                <w:b w:val="0"/>
                <w:bCs w:val="0"/>
                <w:highlight w:val="yellow"/>
              </w:rPr>
            </w:pPr>
            <w:r w:rsidRPr="00B045C7">
              <w:rPr>
                <w:b w:val="0"/>
                <w:bCs w:val="0"/>
                <w:sz w:val="22"/>
                <w:szCs w:val="22"/>
              </w:rPr>
              <w:t>0058T</w:t>
            </w:r>
          </w:p>
        </w:tc>
        <w:tc>
          <w:tcPr>
            <w:tcW w:w="7740" w:type="dxa"/>
          </w:tcPr>
          <w:p w14:paraId="38F1E863" w14:textId="77777777" w:rsidR="00F62A7A" w:rsidRPr="00B045C7" w:rsidRDefault="00F62A7A" w:rsidP="006322D7">
            <w:pPr>
              <w:pStyle w:val="Heading3"/>
              <w:rPr>
                <w:b w:val="0"/>
                <w:bCs w:val="0"/>
              </w:rPr>
            </w:pPr>
            <w:r w:rsidRPr="00B045C7">
              <w:rPr>
                <w:b w:val="0"/>
                <w:bCs w:val="0"/>
                <w:sz w:val="22"/>
                <w:szCs w:val="22"/>
              </w:rPr>
              <w:t>Cryopreservation; reproductive tissue, ovarian</w:t>
            </w:r>
          </w:p>
        </w:tc>
      </w:tr>
    </w:tbl>
    <w:p w14:paraId="76688BA2" w14:textId="77777777" w:rsidR="00F62A7A" w:rsidRPr="00034AA4" w:rsidRDefault="00F62A7A" w:rsidP="00AF5490">
      <w:pPr>
        <w:rPr>
          <w:sz w:val="22"/>
          <w:szCs w:val="22"/>
        </w:rPr>
      </w:pPr>
    </w:p>
    <w:p w14:paraId="23C1C9BA" w14:textId="77777777" w:rsidR="009A1963" w:rsidRPr="00350F22" w:rsidRDefault="009A1963" w:rsidP="00AF5490">
      <w:pPr>
        <w:rPr>
          <w:b/>
        </w:rPr>
      </w:pPr>
      <w:r w:rsidRPr="00350F22">
        <w:rPr>
          <w:b/>
        </w:rPr>
        <w:t>ICD-10-CM Diagnosis Codes that Support Coverage Criteria</w:t>
      </w:r>
    </w:p>
    <w:tbl>
      <w:tblPr>
        <w:tblW w:w="51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2065"/>
        <w:gridCol w:w="7560"/>
      </w:tblGrid>
      <w:tr w:rsidR="009A1963" w:rsidRPr="00B777AF" w14:paraId="72D663CE" w14:textId="77777777" w:rsidTr="00E80D2D">
        <w:trPr>
          <w:tblHeader/>
        </w:trPr>
        <w:tc>
          <w:tcPr>
            <w:tcW w:w="2065" w:type="dxa"/>
            <w:shd w:val="clear" w:color="auto" w:fill="00548C"/>
          </w:tcPr>
          <w:p w14:paraId="5C64B26B" w14:textId="77777777" w:rsidR="009A1963" w:rsidRPr="00B26BB1" w:rsidRDefault="009A1963" w:rsidP="00350F22">
            <w:pPr>
              <w:rPr>
                <w:b/>
                <w:bCs/>
                <w:color w:val="FFFFFF"/>
              </w:rPr>
            </w:pPr>
            <w:r w:rsidRPr="00B26BB1">
              <w:rPr>
                <w:b/>
                <w:color w:val="FFFFFF"/>
              </w:rPr>
              <w:t>ICD-10-CM Code</w:t>
            </w:r>
          </w:p>
        </w:tc>
        <w:tc>
          <w:tcPr>
            <w:tcW w:w="7560" w:type="dxa"/>
            <w:shd w:val="clear" w:color="auto" w:fill="00548C"/>
          </w:tcPr>
          <w:p w14:paraId="1E1DA883" w14:textId="77777777" w:rsidR="009A1963" w:rsidRPr="00B26BB1" w:rsidRDefault="009A1963" w:rsidP="00F91367">
            <w:pPr>
              <w:rPr>
                <w:b/>
                <w:bCs/>
                <w:color w:val="FFFFFF"/>
              </w:rPr>
            </w:pPr>
            <w:r w:rsidRPr="00B26BB1">
              <w:rPr>
                <w:b/>
                <w:color w:val="FFFFFF"/>
              </w:rPr>
              <w:t>Description</w:t>
            </w:r>
          </w:p>
        </w:tc>
      </w:tr>
      <w:tr w:rsidR="009A1963" w:rsidRPr="005144C0" w14:paraId="36E9872F" w14:textId="77777777" w:rsidTr="00E80D2D">
        <w:tc>
          <w:tcPr>
            <w:tcW w:w="2065" w:type="dxa"/>
          </w:tcPr>
          <w:p w14:paraId="25BFDB36" w14:textId="186E7008" w:rsidR="009A1963" w:rsidRDefault="009A1963" w:rsidP="00F91367">
            <w:pPr>
              <w:rPr>
                <w:bCs/>
              </w:rPr>
            </w:pPr>
            <w:r>
              <w:rPr>
                <w:bCs/>
              </w:rPr>
              <w:t>C00</w:t>
            </w:r>
            <w:r w:rsidR="00E03C0E">
              <w:rPr>
                <w:bCs/>
              </w:rPr>
              <w:t>.0</w:t>
            </w:r>
            <w:r>
              <w:rPr>
                <w:bCs/>
              </w:rPr>
              <w:t>-D49</w:t>
            </w:r>
          </w:p>
        </w:tc>
        <w:tc>
          <w:tcPr>
            <w:tcW w:w="7560" w:type="dxa"/>
          </w:tcPr>
          <w:p w14:paraId="4C496661" w14:textId="77777777" w:rsidR="009A1963" w:rsidRPr="00B75486" w:rsidRDefault="009A1963" w:rsidP="00F91367">
            <w:pPr>
              <w:rPr>
                <w:bCs/>
              </w:rPr>
            </w:pPr>
            <w:r>
              <w:rPr>
                <w:bCs/>
              </w:rPr>
              <w:t>Neoplasms</w:t>
            </w:r>
          </w:p>
        </w:tc>
      </w:tr>
      <w:tr w:rsidR="00465C5B" w:rsidRPr="005144C0" w14:paraId="25883FC5" w14:textId="77777777" w:rsidTr="00E80D2D">
        <w:tc>
          <w:tcPr>
            <w:tcW w:w="2065" w:type="dxa"/>
          </w:tcPr>
          <w:p w14:paraId="5839314E" w14:textId="355FC95F" w:rsidR="00465C5B" w:rsidRDefault="00465C5B" w:rsidP="00465C5B">
            <w:pPr>
              <w:rPr>
                <w:bCs/>
              </w:rPr>
            </w:pPr>
            <w:r>
              <w:rPr>
                <w:bCs/>
              </w:rPr>
              <w:t>D27.0</w:t>
            </w:r>
          </w:p>
        </w:tc>
        <w:tc>
          <w:tcPr>
            <w:tcW w:w="7560" w:type="dxa"/>
          </w:tcPr>
          <w:p w14:paraId="25255DB2" w14:textId="36BD2086" w:rsidR="00465C5B" w:rsidRDefault="00465C5B" w:rsidP="00465C5B">
            <w:pPr>
              <w:rPr>
                <w:bCs/>
              </w:rPr>
            </w:pPr>
            <w:r>
              <w:rPr>
                <w:bCs/>
              </w:rPr>
              <w:t xml:space="preserve">Benign neoplasm of  right ovary </w:t>
            </w:r>
          </w:p>
        </w:tc>
      </w:tr>
      <w:tr w:rsidR="00465C5B" w:rsidRPr="005144C0" w14:paraId="0C01D31F" w14:textId="77777777" w:rsidTr="00E80D2D">
        <w:tc>
          <w:tcPr>
            <w:tcW w:w="2065" w:type="dxa"/>
          </w:tcPr>
          <w:p w14:paraId="6EACC69C" w14:textId="10957472" w:rsidR="00465C5B" w:rsidRDefault="00465C5B" w:rsidP="00465C5B">
            <w:pPr>
              <w:rPr>
                <w:bCs/>
              </w:rPr>
            </w:pPr>
            <w:r>
              <w:rPr>
                <w:bCs/>
              </w:rPr>
              <w:t>D27.1</w:t>
            </w:r>
          </w:p>
        </w:tc>
        <w:tc>
          <w:tcPr>
            <w:tcW w:w="7560" w:type="dxa"/>
          </w:tcPr>
          <w:p w14:paraId="754C5265" w14:textId="50A102FE" w:rsidR="00465C5B" w:rsidRDefault="00465C5B" w:rsidP="00465C5B">
            <w:pPr>
              <w:rPr>
                <w:bCs/>
              </w:rPr>
            </w:pPr>
            <w:r>
              <w:rPr>
                <w:bCs/>
              </w:rPr>
              <w:t xml:space="preserve">Benign neoplasm of  left ovary </w:t>
            </w:r>
          </w:p>
        </w:tc>
      </w:tr>
      <w:tr w:rsidR="000A6B1A" w:rsidRPr="005144C0" w14:paraId="7FE7DC88" w14:textId="77777777" w:rsidTr="00E80D2D">
        <w:tc>
          <w:tcPr>
            <w:tcW w:w="2065" w:type="dxa"/>
          </w:tcPr>
          <w:p w14:paraId="7774088F" w14:textId="27815E3F" w:rsidR="000A6B1A" w:rsidRDefault="000A6B1A" w:rsidP="00465C5B">
            <w:pPr>
              <w:rPr>
                <w:bCs/>
              </w:rPr>
            </w:pPr>
            <w:r>
              <w:rPr>
                <w:bCs/>
              </w:rPr>
              <w:t>D39.10-D39.12</w:t>
            </w:r>
          </w:p>
        </w:tc>
        <w:tc>
          <w:tcPr>
            <w:tcW w:w="7560" w:type="dxa"/>
          </w:tcPr>
          <w:p w14:paraId="39795CBF" w14:textId="14686B31" w:rsidR="000A6B1A" w:rsidRDefault="000A6B1A" w:rsidP="00465C5B">
            <w:pPr>
              <w:rPr>
                <w:bCs/>
              </w:rPr>
            </w:pPr>
            <w:r w:rsidRPr="000A6B1A">
              <w:rPr>
                <w:bCs/>
              </w:rPr>
              <w:t>Neoplasm of uncertain behavior of ovary</w:t>
            </w:r>
          </w:p>
        </w:tc>
      </w:tr>
      <w:tr w:rsidR="000A6B1A" w:rsidRPr="005144C0" w14:paraId="2EE9E7D4" w14:textId="77777777" w:rsidTr="00E80D2D">
        <w:tc>
          <w:tcPr>
            <w:tcW w:w="2065" w:type="dxa"/>
          </w:tcPr>
          <w:p w14:paraId="20E3CC76" w14:textId="52C8D788" w:rsidR="000A6B1A" w:rsidRDefault="000A6B1A" w:rsidP="00465C5B">
            <w:pPr>
              <w:rPr>
                <w:bCs/>
              </w:rPr>
            </w:pPr>
            <w:r>
              <w:rPr>
                <w:bCs/>
              </w:rPr>
              <w:t>D40.10-D40.12</w:t>
            </w:r>
          </w:p>
        </w:tc>
        <w:tc>
          <w:tcPr>
            <w:tcW w:w="7560" w:type="dxa"/>
          </w:tcPr>
          <w:p w14:paraId="5E2790C6" w14:textId="320ABCBB" w:rsidR="000A6B1A" w:rsidRPr="000A6B1A" w:rsidRDefault="000A6B1A" w:rsidP="00465C5B">
            <w:pPr>
              <w:rPr>
                <w:bCs/>
              </w:rPr>
            </w:pPr>
            <w:r w:rsidRPr="000A6B1A">
              <w:rPr>
                <w:bCs/>
              </w:rPr>
              <w:t>Neoplasm of uncertain behavior of testis</w:t>
            </w:r>
          </w:p>
        </w:tc>
      </w:tr>
      <w:tr w:rsidR="00465C5B" w:rsidRPr="005144C0" w14:paraId="4AF96090" w14:textId="77777777" w:rsidTr="00E80D2D">
        <w:tc>
          <w:tcPr>
            <w:tcW w:w="2065" w:type="dxa"/>
          </w:tcPr>
          <w:p w14:paraId="0FC36837" w14:textId="6588F590" w:rsidR="00465C5B" w:rsidRDefault="00465C5B" w:rsidP="00465C5B">
            <w:pPr>
              <w:rPr>
                <w:bCs/>
              </w:rPr>
            </w:pPr>
            <w:r>
              <w:rPr>
                <w:bCs/>
              </w:rPr>
              <w:t>N70.0</w:t>
            </w:r>
            <w:r w:rsidR="00DC307B">
              <w:rPr>
                <w:bCs/>
              </w:rPr>
              <w:t>1- N70.0</w:t>
            </w:r>
            <w:r>
              <w:rPr>
                <w:bCs/>
              </w:rPr>
              <w:t>3</w:t>
            </w:r>
          </w:p>
        </w:tc>
        <w:tc>
          <w:tcPr>
            <w:tcW w:w="7560" w:type="dxa"/>
          </w:tcPr>
          <w:p w14:paraId="5681C1EC" w14:textId="379E4323" w:rsidR="00465C5B" w:rsidRDefault="00465C5B" w:rsidP="00513E5A">
            <w:pPr>
              <w:rPr>
                <w:bCs/>
              </w:rPr>
            </w:pPr>
            <w:r>
              <w:rPr>
                <w:bCs/>
              </w:rPr>
              <w:t>Acute salpingitis and ooph</w:t>
            </w:r>
            <w:r w:rsidR="00513E5A">
              <w:rPr>
                <w:bCs/>
              </w:rPr>
              <w:t>o</w:t>
            </w:r>
            <w:r>
              <w:rPr>
                <w:bCs/>
              </w:rPr>
              <w:t xml:space="preserve">rits </w:t>
            </w:r>
          </w:p>
        </w:tc>
      </w:tr>
      <w:tr w:rsidR="00465C5B" w:rsidRPr="005144C0" w14:paraId="6F1F061F" w14:textId="77777777" w:rsidTr="00E80D2D">
        <w:tc>
          <w:tcPr>
            <w:tcW w:w="2065" w:type="dxa"/>
          </w:tcPr>
          <w:p w14:paraId="3FF9DAEA" w14:textId="342C7303" w:rsidR="00465C5B" w:rsidRDefault="00465C5B" w:rsidP="00465C5B">
            <w:pPr>
              <w:rPr>
                <w:bCs/>
              </w:rPr>
            </w:pPr>
            <w:r>
              <w:rPr>
                <w:bCs/>
              </w:rPr>
              <w:t>N70.1</w:t>
            </w:r>
            <w:r w:rsidR="00DC307B">
              <w:rPr>
                <w:bCs/>
              </w:rPr>
              <w:t>1- N70.1</w:t>
            </w:r>
            <w:r>
              <w:rPr>
                <w:bCs/>
              </w:rPr>
              <w:t>3</w:t>
            </w:r>
          </w:p>
        </w:tc>
        <w:tc>
          <w:tcPr>
            <w:tcW w:w="7560" w:type="dxa"/>
          </w:tcPr>
          <w:p w14:paraId="6F501ABF" w14:textId="4D8267B0" w:rsidR="00465C5B" w:rsidRDefault="00465C5B" w:rsidP="00513E5A">
            <w:pPr>
              <w:rPr>
                <w:bCs/>
              </w:rPr>
            </w:pPr>
            <w:r>
              <w:rPr>
                <w:bCs/>
              </w:rPr>
              <w:t>Chronic salpingitis and ooph</w:t>
            </w:r>
            <w:r w:rsidR="00513E5A">
              <w:rPr>
                <w:bCs/>
              </w:rPr>
              <w:t>o</w:t>
            </w:r>
            <w:r>
              <w:rPr>
                <w:bCs/>
              </w:rPr>
              <w:t>ritis</w:t>
            </w:r>
          </w:p>
        </w:tc>
      </w:tr>
      <w:tr w:rsidR="00465C5B" w:rsidRPr="005144C0" w14:paraId="251C240E" w14:textId="77777777" w:rsidTr="00E80D2D">
        <w:tc>
          <w:tcPr>
            <w:tcW w:w="2065" w:type="dxa"/>
          </w:tcPr>
          <w:p w14:paraId="3EEF502E" w14:textId="7C17AEC5" w:rsidR="00465C5B" w:rsidRDefault="00465C5B" w:rsidP="00465C5B">
            <w:pPr>
              <w:rPr>
                <w:bCs/>
              </w:rPr>
            </w:pPr>
            <w:r>
              <w:rPr>
                <w:bCs/>
              </w:rPr>
              <w:t>N83.51</w:t>
            </w:r>
            <w:r w:rsidR="00DC307B">
              <w:rPr>
                <w:bCs/>
              </w:rPr>
              <w:t>1-N83.519</w:t>
            </w:r>
          </w:p>
        </w:tc>
        <w:tc>
          <w:tcPr>
            <w:tcW w:w="7560" w:type="dxa"/>
          </w:tcPr>
          <w:p w14:paraId="7DE3BED0" w14:textId="6360D813" w:rsidR="00465C5B" w:rsidRDefault="00465C5B" w:rsidP="00465C5B">
            <w:pPr>
              <w:rPr>
                <w:bCs/>
              </w:rPr>
            </w:pPr>
            <w:r>
              <w:rPr>
                <w:bCs/>
              </w:rPr>
              <w:t xml:space="preserve">Torsion of ovary and ovarian pedicle </w:t>
            </w:r>
          </w:p>
        </w:tc>
      </w:tr>
      <w:tr w:rsidR="00465C5B" w:rsidRPr="005144C0" w14:paraId="39807CCF" w14:textId="77777777" w:rsidTr="00E80D2D">
        <w:tc>
          <w:tcPr>
            <w:tcW w:w="2065" w:type="dxa"/>
          </w:tcPr>
          <w:p w14:paraId="37F3D7CA" w14:textId="77777777" w:rsidR="00465C5B" w:rsidRPr="00B26BB1" w:rsidRDefault="00465C5B" w:rsidP="00465C5B">
            <w:pPr>
              <w:rPr>
                <w:bCs/>
              </w:rPr>
            </w:pPr>
            <w:r>
              <w:rPr>
                <w:bCs/>
              </w:rPr>
              <w:t>Z31.84</w:t>
            </w:r>
          </w:p>
        </w:tc>
        <w:tc>
          <w:tcPr>
            <w:tcW w:w="7560" w:type="dxa"/>
          </w:tcPr>
          <w:p w14:paraId="20AA1F53" w14:textId="77777777" w:rsidR="00465C5B" w:rsidRPr="00B75486" w:rsidRDefault="00465C5B" w:rsidP="00465C5B">
            <w:pPr>
              <w:rPr>
                <w:bCs/>
              </w:rPr>
            </w:pPr>
            <w:r w:rsidRPr="00B75486">
              <w:rPr>
                <w:bCs/>
              </w:rPr>
              <w:t>Encounter for fertility preservation procedure</w:t>
            </w:r>
          </w:p>
        </w:tc>
      </w:tr>
    </w:tbl>
    <w:p w14:paraId="1140D9E2" w14:textId="77777777" w:rsidR="009A1963" w:rsidRDefault="009A1963" w:rsidP="00AF5490"/>
    <w:tbl>
      <w:tblPr>
        <w:tblW w:w="964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20" w:firstRow="1" w:lastRow="0" w:firstColumn="0" w:lastColumn="0" w:noHBand="0" w:noVBand="0"/>
      </w:tblPr>
      <w:tblGrid>
        <w:gridCol w:w="7578"/>
        <w:gridCol w:w="810"/>
        <w:gridCol w:w="1260"/>
      </w:tblGrid>
      <w:tr w:rsidR="009A1963" w:rsidRPr="00B777AF" w14:paraId="3D44905D" w14:textId="77777777" w:rsidTr="00B26BB1">
        <w:trPr>
          <w:tblHeader/>
        </w:trPr>
        <w:tc>
          <w:tcPr>
            <w:tcW w:w="7578" w:type="dxa"/>
            <w:tcBorders>
              <w:top w:val="single" w:sz="8" w:space="0" w:color="4F81BD"/>
            </w:tcBorders>
            <w:shd w:val="clear" w:color="auto" w:fill="00548C"/>
          </w:tcPr>
          <w:p w14:paraId="7FF36DEB" w14:textId="77777777" w:rsidR="009A1963" w:rsidRPr="00B26BB1" w:rsidRDefault="009A1963" w:rsidP="00B777AF">
            <w:pPr>
              <w:rPr>
                <w:b/>
                <w:bCs/>
                <w:color w:val="FFFFFF"/>
              </w:rPr>
            </w:pPr>
            <w:bookmarkStart w:id="1" w:name="Revision_Log"/>
            <w:r w:rsidRPr="00B26BB1">
              <w:rPr>
                <w:b/>
                <w:color w:val="FFFFFF"/>
              </w:rPr>
              <w:t>Reviews, Revisions, and Approvals</w:t>
            </w:r>
            <w:bookmarkEnd w:id="1"/>
          </w:p>
        </w:tc>
        <w:tc>
          <w:tcPr>
            <w:tcW w:w="810" w:type="dxa"/>
            <w:shd w:val="clear" w:color="auto" w:fill="00548C"/>
          </w:tcPr>
          <w:p w14:paraId="38CCC0C4" w14:textId="77777777" w:rsidR="009A1963" w:rsidRPr="00B26BB1" w:rsidRDefault="009A1963" w:rsidP="00B26BB1">
            <w:pPr>
              <w:jc w:val="center"/>
              <w:rPr>
                <w:b/>
                <w:bCs/>
                <w:color w:val="FFFFFF"/>
              </w:rPr>
            </w:pPr>
            <w:r w:rsidRPr="00B26BB1">
              <w:rPr>
                <w:b/>
                <w:color w:val="FFFFFF"/>
              </w:rPr>
              <w:t>Date</w:t>
            </w:r>
          </w:p>
        </w:tc>
        <w:tc>
          <w:tcPr>
            <w:tcW w:w="1260" w:type="dxa"/>
            <w:tcBorders>
              <w:top w:val="single" w:sz="8" w:space="0" w:color="4F81BD"/>
            </w:tcBorders>
            <w:shd w:val="clear" w:color="auto" w:fill="00548C"/>
          </w:tcPr>
          <w:p w14:paraId="220BE45D" w14:textId="77777777" w:rsidR="009A1963" w:rsidRPr="00B26BB1" w:rsidRDefault="009A1963" w:rsidP="00B26BB1">
            <w:pPr>
              <w:jc w:val="center"/>
              <w:rPr>
                <w:b/>
                <w:bCs/>
                <w:color w:val="FFFFFF"/>
              </w:rPr>
            </w:pPr>
            <w:r w:rsidRPr="00B26BB1">
              <w:rPr>
                <w:b/>
                <w:color w:val="FFFFFF"/>
              </w:rPr>
              <w:t>Approval Date</w:t>
            </w:r>
          </w:p>
        </w:tc>
      </w:tr>
      <w:tr w:rsidR="009A1963" w14:paraId="2F8F7603" w14:textId="77777777" w:rsidTr="00B26BB1">
        <w:tc>
          <w:tcPr>
            <w:tcW w:w="7578" w:type="dxa"/>
          </w:tcPr>
          <w:p w14:paraId="0A630BB1" w14:textId="0D60FE37" w:rsidR="009A1963" w:rsidRPr="00482F81" w:rsidRDefault="009A1963" w:rsidP="00B26BB1">
            <w:pPr>
              <w:tabs>
                <w:tab w:val="num" w:pos="720"/>
              </w:tabs>
            </w:pPr>
            <w:r w:rsidRPr="00482F81">
              <w:t>Policy adopted from Health Net NMP</w:t>
            </w:r>
            <w:r>
              <w:t xml:space="preserve">512, </w:t>
            </w:r>
            <w:r w:rsidRPr="008217B4">
              <w:t xml:space="preserve">Fertility </w:t>
            </w:r>
            <w:r>
              <w:t>Preservation in Cancer Patients</w:t>
            </w:r>
            <w:r w:rsidR="00DD35FA">
              <w:t>. Expanded criteria to include iatrogenic causes of infertility.</w:t>
            </w:r>
            <w:r w:rsidR="0096549F">
              <w:t xml:space="preserve"> Added the following ICD-10 codes: D27.0, D27.1, N70.03, N70.13, N83.51. </w:t>
            </w:r>
          </w:p>
        </w:tc>
        <w:tc>
          <w:tcPr>
            <w:tcW w:w="810" w:type="dxa"/>
          </w:tcPr>
          <w:p w14:paraId="14C438DB" w14:textId="77777777" w:rsidR="009A1963" w:rsidRDefault="009A1963" w:rsidP="00B26BB1">
            <w:pPr>
              <w:jc w:val="center"/>
            </w:pPr>
            <w:r>
              <w:t>9/16</w:t>
            </w:r>
          </w:p>
        </w:tc>
        <w:tc>
          <w:tcPr>
            <w:tcW w:w="1260" w:type="dxa"/>
          </w:tcPr>
          <w:p w14:paraId="46C5DBD6" w14:textId="1CFC4BBD" w:rsidR="009A1963" w:rsidRDefault="0096549F" w:rsidP="00B26BB1">
            <w:pPr>
              <w:jc w:val="center"/>
            </w:pPr>
            <w:r>
              <w:t>10/16</w:t>
            </w:r>
          </w:p>
        </w:tc>
      </w:tr>
      <w:tr w:rsidR="00DC307B" w14:paraId="01C89649" w14:textId="77777777" w:rsidTr="00B26BB1">
        <w:tc>
          <w:tcPr>
            <w:tcW w:w="7578" w:type="dxa"/>
          </w:tcPr>
          <w:p w14:paraId="540914A7" w14:textId="68FB1814" w:rsidR="00DC307B" w:rsidRPr="00482F81" w:rsidRDefault="009012B2" w:rsidP="00B26BB1">
            <w:pPr>
              <w:tabs>
                <w:tab w:val="num" w:pos="720"/>
              </w:tabs>
            </w:pPr>
            <w:r>
              <w:t xml:space="preserve">Added the following to medical necessity statements in I. and II: “when a covered benefit under the member’s benefit plan contract.” </w:t>
            </w:r>
            <w:r w:rsidR="00DC307B">
              <w:t>References reviewed and updated.</w:t>
            </w:r>
            <w:r>
              <w:t xml:space="preserve"> </w:t>
            </w:r>
            <w:r w:rsidR="00DC307B">
              <w:t>Codes updates</w:t>
            </w:r>
          </w:p>
        </w:tc>
        <w:tc>
          <w:tcPr>
            <w:tcW w:w="810" w:type="dxa"/>
          </w:tcPr>
          <w:p w14:paraId="7B6A1CC9" w14:textId="0B1DDCB0" w:rsidR="00DC307B" w:rsidRDefault="00DC307B" w:rsidP="00B26BB1">
            <w:pPr>
              <w:jc w:val="center"/>
            </w:pPr>
            <w:r>
              <w:t>09/17</w:t>
            </w:r>
          </w:p>
        </w:tc>
        <w:tc>
          <w:tcPr>
            <w:tcW w:w="1260" w:type="dxa"/>
          </w:tcPr>
          <w:p w14:paraId="30DF4E38" w14:textId="7F4619A5" w:rsidR="00DC307B" w:rsidRDefault="009012B2" w:rsidP="00B26BB1">
            <w:pPr>
              <w:jc w:val="center"/>
            </w:pPr>
            <w:r>
              <w:t>10/17</w:t>
            </w:r>
          </w:p>
        </w:tc>
      </w:tr>
      <w:tr w:rsidR="00127AB1" w14:paraId="462BD5DE" w14:textId="77777777" w:rsidTr="00B26BB1">
        <w:tc>
          <w:tcPr>
            <w:tcW w:w="7578" w:type="dxa"/>
          </w:tcPr>
          <w:p w14:paraId="7DF9280B" w14:textId="75EC8000" w:rsidR="00127AB1" w:rsidRDefault="004716BC" w:rsidP="00BF22BA">
            <w:pPr>
              <w:tabs>
                <w:tab w:val="num" w:pos="720"/>
              </w:tabs>
            </w:pPr>
            <w:r>
              <w:t xml:space="preserve">Clarified I.B. that cryopreservation is medically necessary for “mature” oocytes; Under III, added </w:t>
            </w:r>
            <w:r w:rsidRPr="004716BC">
              <w:t>A.</w:t>
            </w:r>
            <w:r w:rsidRPr="004716BC">
              <w:tab/>
              <w:t>Cryopreservation of immature oocytes</w:t>
            </w:r>
            <w:r>
              <w:t>, as investigational; Updated recommendations from professional societies in the background; references review</w:t>
            </w:r>
            <w:r w:rsidR="00F975F7">
              <w:t>e</w:t>
            </w:r>
            <w:r>
              <w:t xml:space="preserve">d and updated; codes reviewed. </w:t>
            </w:r>
          </w:p>
        </w:tc>
        <w:tc>
          <w:tcPr>
            <w:tcW w:w="810" w:type="dxa"/>
          </w:tcPr>
          <w:p w14:paraId="5A822761" w14:textId="5B6639B6" w:rsidR="00127AB1" w:rsidRDefault="00F975F7" w:rsidP="00B26BB1">
            <w:pPr>
              <w:jc w:val="center"/>
            </w:pPr>
            <w:r>
              <w:t>09/18</w:t>
            </w:r>
          </w:p>
        </w:tc>
        <w:tc>
          <w:tcPr>
            <w:tcW w:w="1260" w:type="dxa"/>
          </w:tcPr>
          <w:p w14:paraId="4E2D97F8" w14:textId="4F00B8EA" w:rsidR="00127AB1" w:rsidRDefault="00496108" w:rsidP="00B26BB1">
            <w:pPr>
              <w:jc w:val="center"/>
            </w:pPr>
            <w:r>
              <w:t>09/18</w:t>
            </w:r>
          </w:p>
        </w:tc>
      </w:tr>
      <w:tr w:rsidR="00801610" w14:paraId="5F98A03A" w14:textId="77777777" w:rsidTr="00B26BB1">
        <w:tc>
          <w:tcPr>
            <w:tcW w:w="7578" w:type="dxa"/>
          </w:tcPr>
          <w:p w14:paraId="699A319D" w14:textId="1C857660" w:rsidR="00801610" w:rsidRDefault="00801610" w:rsidP="00BF22BA">
            <w:pPr>
              <w:tabs>
                <w:tab w:val="num" w:pos="720"/>
              </w:tabs>
            </w:pPr>
            <w:r>
              <w:t>Annual review completed.  Codes reviewed.  References reviewed and updated.  Specialty review completed.</w:t>
            </w:r>
          </w:p>
        </w:tc>
        <w:tc>
          <w:tcPr>
            <w:tcW w:w="810" w:type="dxa"/>
          </w:tcPr>
          <w:p w14:paraId="5B6E421A" w14:textId="7AF5FC40" w:rsidR="00801610" w:rsidRDefault="00610875" w:rsidP="00B26BB1">
            <w:pPr>
              <w:jc w:val="center"/>
            </w:pPr>
            <w:r>
              <w:t>09/19</w:t>
            </w:r>
          </w:p>
        </w:tc>
        <w:tc>
          <w:tcPr>
            <w:tcW w:w="1260" w:type="dxa"/>
          </w:tcPr>
          <w:p w14:paraId="2FEAD921" w14:textId="2C5F934D" w:rsidR="00801610" w:rsidRDefault="00512EB1" w:rsidP="00B26BB1">
            <w:pPr>
              <w:jc w:val="center"/>
            </w:pPr>
            <w:r>
              <w:t>09/19</w:t>
            </w:r>
          </w:p>
        </w:tc>
      </w:tr>
    </w:tbl>
    <w:p w14:paraId="7F96EC43" w14:textId="77777777" w:rsidR="00FB2C6C" w:rsidRDefault="00FB2C6C" w:rsidP="00963062">
      <w:pPr>
        <w:pStyle w:val="Heading3"/>
        <w:sectPr w:rsidR="00FB2C6C" w:rsidSect="008D426D">
          <w:type w:val="continuous"/>
          <w:pgSz w:w="12240" w:h="15840" w:code="1"/>
          <w:pgMar w:top="1440" w:right="1440" w:bottom="1440" w:left="1440" w:header="576" w:footer="288" w:gutter="0"/>
          <w:cols w:space="720"/>
          <w:titlePg/>
          <w:docGrid w:linePitch="360"/>
        </w:sectPr>
      </w:pPr>
    </w:p>
    <w:p w14:paraId="325F9188" w14:textId="5560D9F8" w:rsidR="009A1963" w:rsidRPr="00B777AF" w:rsidRDefault="009A1963" w:rsidP="00963062">
      <w:pPr>
        <w:pStyle w:val="Heading3"/>
      </w:pPr>
      <w:r>
        <w:t>References</w:t>
      </w:r>
    </w:p>
    <w:p w14:paraId="175EEC25" w14:textId="77777777" w:rsidR="009A1963" w:rsidRDefault="009A1963" w:rsidP="00CA1CF1">
      <w:pPr>
        <w:pStyle w:val="ListParagraph"/>
        <w:numPr>
          <w:ilvl w:val="0"/>
          <w:numId w:val="24"/>
        </w:numPr>
      </w:pPr>
      <w:r>
        <w:t xml:space="preserve">Loren AW1, Mangu PB, </w:t>
      </w:r>
      <w:smartTag w:uri="urn:schemas-microsoft-com:office:smarttags" w:element="address">
        <w:smartTag w:uri="urn:schemas-microsoft-com:office:smarttags" w:element="Street">
          <w:r>
            <w:t>Beck LN</w:t>
          </w:r>
        </w:smartTag>
      </w:smartTag>
      <w:r>
        <w:t xml:space="preserve">, et al.  </w:t>
      </w:r>
      <w:r w:rsidRPr="0002103F">
        <w:t>Fertility preservation for patients with cancer: American Society of Clinical Oncology clinical practice guideline update</w:t>
      </w:r>
      <w:r>
        <w:t xml:space="preserve">.  </w:t>
      </w:r>
      <w:r w:rsidRPr="0002103F">
        <w:t xml:space="preserve">J Clin Oncol. 2013 Jul 1;31(19):2500-10. </w:t>
      </w:r>
      <w:r>
        <w:t xml:space="preserve">Available at:  </w:t>
      </w:r>
      <w:hyperlink r:id="rId15" w:history="1">
        <w:r w:rsidRPr="003632B7">
          <w:rPr>
            <w:rStyle w:val="Hyperlink"/>
          </w:rPr>
          <w:t>http://jco.asc</w:t>
        </w:r>
        <w:r w:rsidRPr="003632B7">
          <w:rPr>
            <w:rStyle w:val="Hyperlink"/>
          </w:rPr>
          <w:t>o</w:t>
        </w:r>
        <w:r w:rsidRPr="003632B7">
          <w:rPr>
            <w:rStyle w:val="Hyperlink"/>
          </w:rPr>
          <w:t>pubs.org/content/early/2013/05/24/JCO.2013.49.2678.full.pdf</w:t>
        </w:r>
      </w:hyperlink>
    </w:p>
    <w:p w14:paraId="2F9603D6" w14:textId="0C368253" w:rsidR="009A1963" w:rsidRPr="0044651D" w:rsidRDefault="009A1963" w:rsidP="00CA1CF1">
      <w:pPr>
        <w:pStyle w:val="ListParagraph"/>
        <w:numPr>
          <w:ilvl w:val="0"/>
          <w:numId w:val="24"/>
        </w:numPr>
      </w:pPr>
      <w:r w:rsidRPr="0044651D">
        <w:t>National Comprehensive Cancer Network (NCCN) Clinical Practice Guidelines in Oncology. Adolescent and young adult (AYA) oncology.</w:t>
      </w:r>
      <w:r w:rsidR="00512EB1">
        <w:t xml:space="preserve">  </w:t>
      </w:r>
      <w:r w:rsidR="00D3165C">
        <w:t xml:space="preserve">Update </w:t>
      </w:r>
      <w:bookmarkStart w:id="2" w:name="_GoBack"/>
      <w:bookmarkEnd w:id="2"/>
      <w:r w:rsidR="001E6946">
        <w:t>May 30, 2019</w:t>
      </w:r>
      <w:r w:rsidR="00BE6E20">
        <w:t xml:space="preserve">.  Version </w:t>
      </w:r>
      <w:r w:rsidR="00D3165C">
        <w:t>1.20</w:t>
      </w:r>
      <w:r w:rsidR="001E6946">
        <w:t>20</w:t>
      </w:r>
      <w:r w:rsidR="00503BC1">
        <w:t xml:space="preserve">.  </w:t>
      </w:r>
    </w:p>
    <w:p w14:paraId="291DEBA8" w14:textId="5EDFAB07" w:rsidR="009A1963" w:rsidRPr="00C64439" w:rsidRDefault="009A1963" w:rsidP="00CA1CF1">
      <w:pPr>
        <w:numPr>
          <w:ilvl w:val="0"/>
          <w:numId w:val="24"/>
        </w:numPr>
      </w:pPr>
      <w:smartTag w:uri="urn:schemas-microsoft-com:office:smarttags" w:element="place">
        <w:smartTag w:uri="urn:schemas-microsoft-com:office:smarttags" w:element="PlaceName">
          <w:r w:rsidRPr="00C64439">
            <w:lastRenderedPageBreak/>
            <w:t>American</w:t>
          </w:r>
        </w:smartTag>
        <w:r w:rsidRPr="00C64439">
          <w:t xml:space="preserve"> </w:t>
        </w:r>
        <w:smartTag w:uri="urn:schemas-microsoft-com:office:smarttags" w:element="PlaceType">
          <w:r w:rsidRPr="00C64439">
            <w:t>College</w:t>
          </w:r>
        </w:smartTag>
      </w:smartTag>
      <w:r w:rsidRPr="00C64439">
        <w:t xml:space="preserve"> of Obstetricians and Gynecologists (ACOG). Committee </w:t>
      </w:r>
      <w:r w:rsidRPr="00C438CA">
        <w:t>Opinion No. 584</w:t>
      </w:r>
      <w:r w:rsidR="0096549F">
        <w:t xml:space="preserve">. </w:t>
      </w:r>
      <w:r w:rsidRPr="00C64439">
        <w:t>Oocyte cryopreservation. Committee Opinion No. 584</w:t>
      </w:r>
      <w:r>
        <w:t xml:space="preserve">.  </w:t>
      </w:r>
      <w:r w:rsidRPr="00C64439">
        <w:t>January 2014</w:t>
      </w:r>
      <w:r w:rsidR="00E430C1">
        <w:t>. Reaffirmed 201</w:t>
      </w:r>
      <w:r w:rsidR="00BC038B">
        <w:t>8</w:t>
      </w:r>
      <w:r w:rsidR="0096549F">
        <w:t>.</w:t>
      </w:r>
    </w:p>
    <w:p w14:paraId="7BE6475F" w14:textId="5E7C38B8" w:rsidR="009A1963" w:rsidRPr="00C438CA" w:rsidRDefault="009A1963" w:rsidP="00CA1CF1">
      <w:pPr>
        <w:numPr>
          <w:ilvl w:val="0"/>
          <w:numId w:val="24"/>
        </w:numPr>
      </w:pPr>
      <w:r w:rsidRPr="00C438CA">
        <w:t xml:space="preserve">American </w:t>
      </w:r>
      <w:smartTag w:uri="urn:schemas-microsoft-com:office:smarttags" w:element="place">
        <w:smartTag w:uri="urn:schemas-microsoft-com:office:smarttags" w:element="PlaceType">
          <w:r w:rsidRPr="00C438CA">
            <w:t>College</w:t>
          </w:r>
        </w:smartTag>
        <w:r w:rsidRPr="00C438CA">
          <w:t xml:space="preserve"> of </w:t>
        </w:r>
        <w:smartTag w:uri="urn:schemas-microsoft-com:office:smarttags" w:element="PlaceName">
          <w:r w:rsidRPr="00C438CA">
            <w:t>Obstetricians</w:t>
          </w:r>
        </w:smartTag>
      </w:smartTag>
      <w:r w:rsidRPr="00C438CA">
        <w:t xml:space="preserve"> and Gynecologists (ACOG</w:t>
      </w:r>
      <w:r>
        <w:t xml:space="preserve">) Committee </w:t>
      </w:r>
      <w:r w:rsidRPr="00C438CA">
        <w:t>Number 607, Gynecologic Concerns in Children and Adolescents With Cancer</w:t>
      </w:r>
      <w:r>
        <w:t xml:space="preserve">.  </w:t>
      </w:r>
      <w:r w:rsidRPr="00C438CA">
        <w:t>August 2014</w:t>
      </w:r>
      <w:r w:rsidR="00687B0E">
        <w:t>.  Reaffirmed 2017</w:t>
      </w:r>
      <w:r w:rsidR="00507986">
        <w:t>.  Replaced by Committee Opinion No.747</w:t>
      </w:r>
    </w:p>
    <w:p w14:paraId="4C4D0252" w14:textId="4B3C06F5" w:rsidR="009A1963" w:rsidRPr="009777B2" w:rsidRDefault="009A1963" w:rsidP="00CA1CF1">
      <w:pPr>
        <w:pStyle w:val="ListParagraph"/>
        <w:numPr>
          <w:ilvl w:val="0"/>
          <w:numId w:val="24"/>
        </w:numPr>
      </w:pPr>
      <w:r>
        <w:t xml:space="preserve">Practice Committee of American Society for Reproductive Medicine.  </w:t>
      </w:r>
      <w:r w:rsidRPr="009777B2">
        <w:t>Ovarian tissue cryopreservation: a committee opinion</w:t>
      </w:r>
      <w:r>
        <w:t xml:space="preserve">.  </w:t>
      </w:r>
      <w:r w:rsidRPr="009777B2">
        <w:t>Fertil Steril. 2014 May;101(5):1237-43</w:t>
      </w:r>
    </w:p>
    <w:p w14:paraId="415ED28A" w14:textId="77777777" w:rsidR="009A1963" w:rsidRDefault="009A1963" w:rsidP="00535738">
      <w:pPr>
        <w:pStyle w:val="ListParagraph"/>
        <w:numPr>
          <w:ilvl w:val="0"/>
          <w:numId w:val="24"/>
        </w:numPr>
      </w:pPr>
      <w:r>
        <w:t xml:space="preserve">Pfeifer S, Goldberg J, McClure R, et al.  </w:t>
      </w:r>
      <w:r w:rsidRPr="00C608AF">
        <w:t>Mature oocyte cryopreservation: a guideline</w:t>
      </w:r>
      <w:r>
        <w:t xml:space="preserve">.  </w:t>
      </w:r>
      <w:r w:rsidRPr="00C608AF">
        <w:t>Practice Committees of American Society for Reproductive Medicine; Society for Assisted Reproductive Technology</w:t>
      </w:r>
      <w:r>
        <w:t xml:space="preserve">.  </w:t>
      </w:r>
      <w:r w:rsidRPr="00C608AF">
        <w:t>Fertil Steril. 2013 Jan;99(1):37-43</w:t>
      </w:r>
    </w:p>
    <w:p w14:paraId="4B291C89" w14:textId="06D85579" w:rsidR="00E54798" w:rsidRDefault="00E54798" w:rsidP="00E54798">
      <w:pPr>
        <w:pStyle w:val="ListParagraph"/>
        <w:numPr>
          <w:ilvl w:val="0"/>
          <w:numId w:val="24"/>
        </w:numPr>
      </w:pPr>
      <w:r w:rsidRPr="00E54798">
        <w:t>Shah JS, Guerra R, Bodurka DC</w:t>
      </w:r>
      <w:r>
        <w:t xml:space="preserve">, et al.  </w:t>
      </w:r>
      <w:r w:rsidRPr="00E54798">
        <w:t>Factors influencing fertility-sparing treatment for gynecologic malignancies: A survey of Society of Gynecologic Oncology members.</w:t>
      </w:r>
      <w:r>
        <w:t xml:space="preserve">  </w:t>
      </w:r>
      <w:r w:rsidRPr="00E54798">
        <w:t>Gynecol Oncol. 2017 Sep 21. pii: S0090-8258(17)31343-4</w:t>
      </w:r>
    </w:p>
    <w:p w14:paraId="16C4B416" w14:textId="19EF3035" w:rsidR="009621CB" w:rsidRDefault="009621CB" w:rsidP="009621CB">
      <w:pPr>
        <w:pStyle w:val="ListParagraph"/>
        <w:numPr>
          <w:ilvl w:val="0"/>
          <w:numId w:val="24"/>
        </w:numPr>
      </w:pPr>
      <w:r>
        <w:t xml:space="preserve">Hayes Technology Brief.  </w:t>
      </w:r>
      <w:r w:rsidRPr="009621CB">
        <w:t>Ovarian Tissue Cryopreservation for Preservation of Fertility in Patients Undergoing Gonadotoxic Cancer Treatment</w:t>
      </w:r>
      <w:r>
        <w:t>.  Dec 2016</w:t>
      </w:r>
      <w:r w:rsidR="000956E3">
        <w:t>.  Update Nov</w:t>
      </w:r>
      <w:r w:rsidR="00F948AD">
        <w:t xml:space="preserve"> 8, </w:t>
      </w:r>
      <w:r w:rsidR="000956E3">
        <w:t>201</w:t>
      </w:r>
      <w:r w:rsidR="00F948AD">
        <w:t>8</w:t>
      </w:r>
      <w:r w:rsidR="000956E3">
        <w:t>.</w:t>
      </w:r>
    </w:p>
    <w:p w14:paraId="7A9E1637" w14:textId="0A250935" w:rsidR="004F7EB7" w:rsidRDefault="004F7EB7" w:rsidP="004F7EB7">
      <w:pPr>
        <w:pStyle w:val="ListParagraph"/>
        <w:numPr>
          <w:ilvl w:val="0"/>
          <w:numId w:val="24"/>
        </w:numPr>
      </w:pPr>
      <w:r w:rsidRPr="004F7EB7">
        <w:t>Pacheco F, Oktay K.</w:t>
      </w:r>
      <w:r>
        <w:t xml:space="preserve">  </w:t>
      </w:r>
      <w:r w:rsidRPr="004F7EB7">
        <w:t>Current Success and Efficiency of Autologous Ovarian Transplantation: A Meta-Analysis.</w:t>
      </w:r>
      <w:r>
        <w:t xml:space="preserve">  </w:t>
      </w:r>
      <w:r w:rsidRPr="004F7EB7">
        <w:t>Reprod Sci. 2017 Aug;24(8):1111-1120. doi: 10.1177/1933719117702251</w:t>
      </w:r>
    </w:p>
    <w:p w14:paraId="1895AAC0" w14:textId="5CE2832D" w:rsidR="00861A0A" w:rsidRDefault="00861A0A" w:rsidP="00512EB1">
      <w:pPr>
        <w:pStyle w:val="ListParagraph"/>
        <w:numPr>
          <w:ilvl w:val="0"/>
          <w:numId w:val="24"/>
        </w:numPr>
      </w:pPr>
      <w:r>
        <w:t>Oktay K, Harvey BE, Partridge AH, et al.  Fertility Preservation in Patients With Cancer: ASCO Clinical Practice Guideline Update</w:t>
      </w:r>
      <w:r w:rsidR="00982E3F">
        <w:t xml:space="preserve">.  </w:t>
      </w:r>
      <w:r w:rsidR="00982E3F" w:rsidRPr="00982E3F">
        <w:t>J Clin Oncol. 2018 Jul 1;36(19):1994-2001. doi: 10.1200/JCO.2018.78.1914.</w:t>
      </w:r>
      <w:r w:rsidR="00982E3F">
        <w:t xml:space="preserve">  Available at:  </w:t>
      </w:r>
      <w:hyperlink r:id="rId16" w:history="1">
        <w:r w:rsidR="00512EB1" w:rsidRPr="00324CC3">
          <w:rPr>
            <w:rStyle w:val="Hyperlink"/>
          </w:rPr>
          <w:t>https://ascopubs.org/doi/pdf/10.1200/JCO.2018.78.1914</w:t>
        </w:r>
      </w:hyperlink>
    </w:p>
    <w:p w14:paraId="4F072195" w14:textId="268D1264" w:rsidR="00BC038B" w:rsidRDefault="00BC038B" w:rsidP="00BC038B">
      <w:pPr>
        <w:pStyle w:val="ListParagraph"/>
        <w:numPr>
          <w:ilvl w:val="0"/>
          <w:numId w:val="24"/>
        </w:numPr>
      </w:pPr>
      <w:r w:rsidRPr="00BC038B">
        <w:t>American College of Obstetricians and Gynecologists (ACOG) Committee Number</w:t>
      </w:r>
      <w:r>
        <w:t xml:space="preserve"> 747. </w:t>
      </w:r>
      <w:r w:rsidRPr="00BC038B">
        <w:t>Gynecologic Issues in Children and Adolescent Cancer Patients and Survivors</w:t>
      </w:r>
      <w:r>
        <w:t xml:space="preserve">. August 2018. </w:t>
      </w:r>
      <w:r w:rsidRPr="00BC038B">
        <w:t>(Replaces Committee Opinion Number 607, August 2014)</w:t>
      </w:r>
    </w:p>
    <w:p w14:paraId="7E4EF3DB" w14:textId="613ED32A" w:rsidR="00982E3F" w:rsidRDefault="000956E3" w:rsidP="001B4B6C">
      <w:pPr>
        <w:pStyle w:val="ListParagraph"/>
        <w:numPr>
          <w:ilvl w:val="0"/>
          <w:numId w:val="24"/>
        </w:numPr>
        <w:ind w:hanging="540"/>
      </w:pPr>
      <w:r>
        <w:t xml:space="preserve">Sonmezer M, Oktay K.  </w:t>
      </w:r>
      <w:r w:rsidR="001B4B6C" w:rsidRPr="001B4B6C">
        <w:t>Fertility preservation in patients undergoing gonadotoxic treatment or gonadal resection</w:t>
      </w:r>
      <w:r w:rsidR="001B4B6C">
        <w:t xml:space="preserve">.  In: UpToDate, Barbieri RL </w:t>
      </w:r>
      <w:r w:rsidR="001B4B6C" w:rsidRPr="001B4B6C">
        <w:t>(Ed), UpToDate,</w:t>
      </w:r>
      <w:r w:rsidR="001B4B6C">
        <w:t xml:space="preserve"> Accessed </w:t>
      </w:r>
      <w:r w:rsidR="0033449B">
        <w:t>Aug 28, 2019.  Updated Jul 24, 2019</w:t>
      </w:r>
      <w:r w:rsidR="00D764EE">
        <w:t>.</w:t>
      </w:r>
    </w:p>
    <w:p w14:paraId="6DBFCE4C" w14:textId="77777777" w:rsidR="009A1963" w:rsidRDefault="009A1963" w:rsidP="00020937">
      <w:pPr>
        <w:pStyle w:val="ListParagraph"/>
        <w:ind w:left="0"/>
      </w:pPr>
    </w:p>
    <w:p w14:paraId="725A3577" w14:textId="77777777" w:rsidR="009A1963" w:rsidRPr="00146C6E" w:rsidRDefault="009A1963" w:rsidP="00146C6E">
      <w:pPr>
        <w:rPr>
          <w:b/>
          <w:u w:val="single"/>
        </w:rPr>
      </w:pPr>
      <w:bookmarkStart w:id="3" w:name="Important_Reminder"/>
      <w:r w:rsidRPr="00146C6E">
        <w:rPr>
          <w:b/>
          <w:bCs/>
          <w:u w:val="single"/>
        </w:rPr>
        <w:t>Important Reminder</w:t>
      </w:r>
      <w:bookmarkEnd w:id="3"/>
    </w:p>
    <w:p w14:paraId="09C1F9D0" w14:textId="77777777" w:rsidR="009A1963" w:rsidRPr="00146C6E" w:rsidRDefault="009A1963" w:rsidP="00146C6E">
      <w:r w:rsidRPr="00146C6E">
        <w:t xml:space="preserve">This clinical policy has been developed by appropriately experienced and licensed health care professionals based on a review and consideration of currently available generally accepted standards of medical practice; peer-reviewed medical literature; government agency/program approval status; evidence-based guidelines and positions of leading national health professional organizations; views of physicians practicing in relevant clinical areas affected by this clinical policy; and other available clinical information. </w:t>
      </w:r>
      <w:r w:rsidRPr="00146C6E">
        <w:rPr>
          <w:iCs/>
        </w:rPr>
        <w:t>The Health Plan</w:t>
      </w:r>
      <w:r w:rsidRPr="00146C6E">
        <w:t xml:space="preserve"> makes no representations and accepts no liability with respect to the content of any external information used or relied upon in developing this clinical policy. This clinical policy is consistent with standards of medical practice current at the time that this clinical policy was approved. “Health Plan” means a health plan that has adopted this clinical policy and that is operated or administered, in whole or in part, by Centene Management Company, LLC, or any of such health plan’s affiliates, as applicable.</w:t>
      </w:r>
    </w:p>
    <w:p w14:paraId="71996379" w14:textId="77777777" w:rsidR="009A1963" w:rsidRPr="00146C6E" w:rsidRDefault="009A1963" w:rsidP="00146C6E"/>
    <w:p w14:paraId="2489FAAA" w14:textId="77777777" w:rsidR="009A1963" w:rsidRPr="00146C6E" w:rsidRDefault="009A1963" w:rsidP="00146C6E">
      <w:r w:rsidRPr="00146C6E">
        <w:t xml:space="preserve">The purpose of this clinical policy is to provide a guide to medical necessity, which is a component of the guidelines used to assist in making coverage decisions and administering benefits. It does not constitute a contract or guarantee regarding payment or results. Coverage decisions and the administration of benefits are subject to all terms, conditions, exclusions and </w:t>
      </w:r>
      <w:r w:rsidRPr="00146C6E">
        <w:lastRenderedPageBreak/>
        <w:t xml:space="preserve">limitations of the coverage documents (e.g., evidence of coverage, certificate of coverage, policy, contract of insurance, etc.), as well as to state and federal requirements and applicable Health Plan-level administrative policies and procedures.   </w:t>
      </w:r>
    </w:p>
    <w:p w14:paraId="5C622033" w14:textId="77777777" w:rsidR="009A1963" w:rsidRPr="00146C6E" w:rsidRDefault="009A1963" w:rsidP="00146C6E"/>
    <w:p w14:paraId="3B7A3991" w14:textId="77777777" w:rsidR="009A1963" w:rsidRPr="00146C6E" w:rsidRDefault="009A1963" w:rsidP="00146C6E">
      <w:pPr>
        <w:rPr>
          <w:color w:val="002868"/>
        </w:rPr>
      </w:pPr>
      <w:r w:rsidRPr="00146C6E">
        <w:t>This clinical policy is effective as of the date determined by the Health Plan. The date of posting may not be the effective date of this clinical policy. This clinical policy may be subject to applicable legal and regulatory requirements relating to provider notification. If there is a discrepancy between the effective date of this clinical policy and any applicable legal or regulatory requirement, the requirements of law and regulation shall govern. The Health Plan retains the right to change, amend or withdraw this clinical policy, and additional clinical policies may be developed and adopted as needed, at any time.</w:t>
      </w:r>
    </w:p>
    <w:p w14:paraId="5AFF3EE0" w14:textId="77777777" w:rsidR="009A1963" w:rsidRPr="00146C6E" w:rsidRDefault="009A1963" w:rsidP="00146C6E"/>
    <w:p w14:paraId="0D1BF0FE" w14:textId="77777777" w:rsidR="009A1963" w:rsidRPr="00146C6E" w:rsidRDefault="009A1963" w:rsidP="00146C6E">
      <w:r w:rsidRPr="00146C6E">
        <w:t xml:space="preserve">This clinical policy does not constitute medical advice, medical treatment or medical care.  It is not intended to dictate to providers how to practice medicine. Providers are expected to exercise professional medical judgment in providing the most appropriate care, and are solely responsible for the medical advice and treatment of members.  This clinical policy is not intended to recommend treatment for members. Members should consult with their treating physician in connection with diagnosis and treatment decisions. </w:t>
      </w:r>
    </w:p>
    <w:p w14:paraId="03F8FD0B" w14:textId="77777777" w:rsidR="009A1963" w:rsidRPr="00146C6E" w:rsidRDefault="009A1963" w:rsidP="00146C6E"/>
    <w:p w14:paraId="02104E64" w14:textId="77777777" w:rsidR="009A1963" w:rsidRPr="00146C6E" w:rsidRDefault="009A1963" w:rsidP="00146C6E">
      <w:r w:rsidRPr="00146C6E">
        <w:t>Providers referred to in this clinical policy are independent contractors who exercise independent judgment and over whom the Health Plan has no control or right of control.  Providers are not agents or employees of the Health Plan.</w:t>
      </w:r>
    </w:p>
    <w:p w14:paraId="469BF911" w14:textId="77777777" w:rsidR="009A1963" w:rsidRPr="00146C6E" w:rsidRDefault="009A1963" w:rsidP="00146C6E"/>
    <w:p w14:paraId="68AED77E" w14:textId="77777777" w:rsidR="009A1963" w:rsidRPr="00146C6E" w:rsidRDefault="009A1963" w:rsidP="00146C6E">
      <w:r w:rsidRPr="00146C6E">
        <w:t xml:space="preserve">This clinical policy is the property of </w:t>
      </w:r>
      <w:r w:rsidRPr="00146C6E">
        <w:rPr>
          <w:iCs/>
        </w:rPr>
        <w:t>the Health Plan</w:t>
      </w:r>
      <w:r w:rsidRPr="00146C6E">
        <w:t xml:space="preserve">. Unauthorized copying, use, and distribution of this clinical policy or any information contained herein are strictly prohibited.  Providers, members and their representatives are bound to the terms and conditions expressed herein through the terms of their contracts.  Where no such contract exists, providers, members and their representatives agree to be bound by such terms and conditions by providing services to members and/or submitting claims for payment for such services.  </w:t>
      </w:r>
    </w:p>
    <w:p w14:paraId="168DF736" w14:textId="77777777" w:rsidR="009A1963" w:rsidRPr="00146C6E" w:rsidRDefault="009A1963" w:rsidP="00146C6E">
      <w:pPr>
        <w:autoSpaceDE w:val="0"/>
        <w:autoSpaceDN w:val="0"/>
        <w:adjustRightInd w:val="0"/>
        <w:rPr>
          <w:color w:val="000000"/>
        </w:rPr>
      </w:pPr>
    </w:p>
    <w:p w14:paraId="5F517E73" w14:textId="77777777" w:rsidR="009A1963" w:rsidRPr="00146C6E" w:rsidRDefault="009A1963" w:rsidP="00146C6E">
      <w:pPr>
        <w:autoSpaceDE w:val="0"/>
        <w:autoSpaceDN w:val="0"/>
        <w:adjustRightInd w:val="0"/>
        <w:rPr>
          <w:color w:val="000000"/>
        </w:rPr>
      </w:pPr>
      <w:r w:rsidRPr="00146C6E">
        <w:rPr>
          <w:b/>
          <w:color w:val="000000"/>
        </w:rPr>
        <w:t>Note: For Medicaid members</w:t>
      </w:r>
      <w:r w:rsidRPr="00146C6E">
        <w:rPr>
          <w:color w:val="000000"/>
        </w:rPr>
        <w:t>, when state Medicaid coverage provisions conflict with the coverage provisions in this clinical policy, state Medicaid coverage provisions take precedence. Please refer to the state Medicaid manual for any coverage provisions pertaining to this clinical policy.</w:t>
      </w:r>
    </w:p>
    <w:p w14:paraId="546CE595" w14:textId="77777777" w:rsidR="009A1963" w:rsidRPr="00146C6E" w:rsidRDefault="009A1963" w:rsidP="00146C6E"/>
    <w:p w14:paraId="70B05CDE" w14:textId="7DA49CF3" w:rsidR="009A1963" w:rsidRPr="00146C6E" w:rsidRDefault="009A1963" w:rsidP="00146C6E">
      <w:pPr>
        <w:autoSpaceDE w:val="0"/>
        <w:autoSpaceDN w:val="0"/>
        <w:adjustRightInd w:val="0"/>
        <w:rPr>
          <w:color w:val="000000"/>
        </w:rPr>
      </w:pPr>
      <w:r w:rsidRPr="00146C6E">
        <w:rPr>
          <w:b/>
          <w:bCs/>
          <w:color w:val="000000"/>
        </w:rPr>
        <w:t xml:space="preserve">Note: For Medicare members, </w:t>
      </w:r>
      <w:r w:rsidRPr="00146C6E">
        <w:rPr>
          <w:color w:val="000000"/>
        </w:rPr>
        <w:t>to ensure consistency with the Medicare National Coverage Determinations (NCD) and Local Coverage Determinations (LCD), all applicable NCDs</w:t>
      </w:r>
      <w:r>
        <w:rPr>
          <w:color w:val="000000"/>
        </w:rPr>
        <w:t>,</w:t>
      </w:r>
      <w:r w:rsidRPr="00146C6E">
        <w:rPr>
          <w:color w:val="000000"/>
        </w:rPr>
        <w:t xml:space="preserve"> LCDs</w:t>
      </w:r>
      <w:r>
        <w:rPr>
          <w:color w:val="000000"/>
        </w:rPr>
        <w:t xml:space="preserve">, and Medicare Coverage Articles </w:t>
      </w:r>
      <w:r w:rsidRPr="00146C6E">
        <w:rPr>
          <w:color w:val="000000"/>
        </w:rPr>
        <w:t xml:space="preserve">should be reviewed </w:t>
      </w:r>
      <w:r w:rsidRPr="00146C6E">
        <w:rPr>
          <w:color w:val="000000"/>
          <w:u w:val="single"/>
        </w:rPr>
        <w:t>prior to</w:t>
      </w:r>
      <w:r w:rsidRPr="00146C6E">
        <w:rPr>
          <w:color w:val="000000"/>
        </w:rPr>
        <w:t xml:space="preserve"> applying the criteria set forth in this clinical policy. Refer to the CMS website at </w:t>
      </w:r>
      <w:hyperlink r:id="rId17" w:history="1">
        <w:r w:rsidR="00982E3F" w:rsidRPr="00982E3F">
          <w:rPr>
            <w:rStyle w:val="Hyperlink"/>
          </w:rPr>
          <w:t>http://www.cms.gov</w:t>
        </w:r>
      </w:hyperlink>
      <w:r w:rsidRPr="00146C6E">
        <w:rPr>
          <w:color w:val="000000"/>
        </w:rPr>
        <w:t xml:space="preserve"> for additional information. </w:t>
      </w:r>
    </w:p>
    <w:p w14:paraId="38E7A563" w14:textId="77777777" w:rsidR="009A1963" w:rsidRPr="00146C6E" w:rsidRDefault="009A1963" w:rsidP="00146C6E">
      <w:pPr>
        <w:rPr>
          <w:iCs/>
        </w:rPr>
      </w:pPr>
    </w:p>
    <w:p w14:paraId="29C0A0CE" w14:textId="77777777" w:rsidR="009A1963" w:rsidRPr="00146C6E" w:rsidRDefault="009A1963" w:rsidP="00146C6E">
      <w:pPr>
        <w:rPr>
          <w:iCs/>
        </w:rPr>
      </w:pPr>
      <w:r w:rsidRPr="00146C6E">
        <w:rPr>
          <w:iCs/>
        </w:rPr>
        <w:t xml:space="preserve">©2016 Centene Corporation. All rights reserved.  All materials are exclusively owned by Centene Corporation and are protected by </w:t>
      </w:r>
      <w:smartTag w:uri="urn:schemas-microsoft-com:office:smarttags" w:element="place">
        <w:smartTag w:uri="urn:schemas-microsoft-com:office:smarttags" w:element="country-region">
          <w:r w:rsidRPr="00146C6E">
            <w:rPr>
              <w:iCs/>
            </w:rPr>
            <w:t>United States</w:t>
          </w:r>
        </w:smartTag>
      </w:smartTag>
      <w:r w:rsidRPr="00146C6E">
        <w:rPr>
          <w:iCs/>
        </w:rPr>
        <w:t xml:space="preserve"> copyright law and international copyright law.  No part of this publication may be reproduced, copied, modified, distributed, displayed, stored in a retrieval system, transmitted in any form or by any means, or otherwise published without the prior written permission of Centene Corporation. You may not alter or </w:t>
      </w:r>
      <w:r w:rsidRPr="00146C6E">
        <w:rPr>
          <w:iCs/>
        </w:rPr>
        <w:lastRenderedPageBreak/>
        <w:t>remove any trademark, copyright or other notice contained herein. Centene</w:t>
      </w:r>
      <w:r w:rsidRPr="00146C6E">
        <w:rPr>
          <w:iCs/>
          <w:vertAlign w:val="superscript"/>
        </w:rPr>
        <w:t>®</w:t>
      </w:r>
      <w:r w:rsidRPr="00146C6E">
        <w:rPr>
          <w:iCs/>
        </w:rPr>
        <w:t xml:space="preserve"> and Centene Corporation</w:t>
      </w:r>
      <w:r w:rsidRPr="00146C6E">
        <w:rPr>
          <w:iCs/>
          <w:vertAlign w:val="superscript"/>
        </w:rPr>
        <w:t>®</w:t>
      </w:r>
      <w:r w:rsidRPr="00146C6E">
        <w:rPr>
          <w:iCs/>
        </w:rPr>
        <w:t xml:space="preserve"> are registered trademarks exclusively owned by Centene Corporation.</w:t>
      </w:r>
    </w:p>
    <w:p w14:paraId="5DE5D082" w14:textId="77777777" w:rsidR="009A1963" w:rsidRDefault="009A1963" w:rsidP="00AF5490"/>
    <w:sectPr w:rsidR="009A1963" w:rsidSect="008D426D">
      <w:type w:val="continuous"/>
      <w:pgSz w:w="12240" w:h="15840" w:code="1"/>
      <w:pgMar w:top="1440" w:right="1440" w:bottom="1440" w:left="1440" w:header="576"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438E0C" w14:textId="77777777" w:rsidR="009A1963" w:rsidRDefault="009A1963">
      <w:r>
        <w:separator/>
      </w:r>
    </w:p>
  </w:endnote>
  <w:endnote w:type="continuationSeparator" w:id="0">
    <w:p w14:paraId="1C97E5F4" w14:textId="77777777" w:rsidR="009A1963" w:rsidRDefault="009A1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stem">
    <w:panose1 w:val="00000000000000000000"/>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altName w:val="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986BB" w14:textId="77777777" w:rsidR="009A1963" w:rsidRDefault="009A1963" w:rsidP="00253B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5126084" w14:textId="77777777" w:rsidR="009A1963" w:rsidRDefault="009A1963" w:rsidP="00034AA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A93560" w14:textId="5DC65E7E" w:rsidR="009A1963" w:rsidRPr="00D574CA" w:rsidRDefault="009A1963" w:rsidP="00F62A7A">
    <w:pPr>
      <w:pStyle w:val="Footer"/>
      <w:tabs>
        <w:tab w:val="clear" w:pos="4320"/>
      </w:tabs>
      <w:ind w:right="360"/>
      <w:jc w:val="center"/>
    </w:pPr>
    <w:r>
      <w:t xml:space="preserve">Page </w:t>
    </w:r>
    <w:r w:rsidR="00F62A7A">
      <w:fldChar w:fldCharType="begin"/>
    </w:r>
    <w:r w:rsidR="00F62A7A">
      <w:instrText xml:space="preserve"> PAGE  \* Arabic  \* MERGEFORMAT </w:instrText>
    </w:r>
    <w:r w:rsidR="00F62A7A">
      <w:fldChar w:fldCharType="separate"/>
    </w:r>
    <w:r w:rsidR="00F5353E">
      <w:rPr>
        <w:noProof/>
      </w:rPr>
      <w:t>8</w:t>
    </w:r>
    <w:r w:rsidR="00F62A7A">
      <w:fldChar w:fldCharType="end"/>
    </w:r>
    <w:r>
      <w:t xml:space="preserve"> of </w:t>
    </w:r>
    <w:r>
      <w:rPr>
        <w:b/>
        <w:bCs/>
      </w:rPr>
      <w:fldChar w:fldCharType="begin"/>
    </w:r>
    <w:r>
      <w:rPr>
        <w:b/>
        <w:bCs/>
      </w:rPr>
      <w:instrText xml:space="preserve"> NUMPAGES  </w:instrText>
    </w:r>
    <w:r>
      <w:rPr>
        <w:b/>
        <w:bCs/>
      </w:rPr>
      <w:fldChar w:fldCharType="separate"/>
    </w:r>
    <w:r w:rsidR="00F5353E">
      <w:rPr>
        <w:b/>
        <w:bCs/>
        <w:noProof/>
      </w:rPr>
      <w:t>8</w:t>
    </w:r>
    <w:r>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C634B" w14:textId="38C5BF98" w:rsidR="009A1963" w:rsidRDefault="009A1963" w:rsidP="002C6AAB">
    <w:pPr>
      <w:pStyle w:val="Footer"/>
      <w:jc w:val="center"/>
    </w:pPr>
    <w:r>
      <w:t xml:space="preserve">Page </w:t>
    </w:r>
    <w:r w:rsidR="00B9140A">
      <w:fldChar w:fldCharType="begin"/>
    </w:r>
    <w:r w:rsidR="00B9140A">
      <w:instrText xml:space="preserve"> PAGE   \* MERGEFORMAT </w:instrText>
    </w:r>
    <w:r w:rsidR="00B9140A">
      <w:fldChar w:fldCharType="separate"/>
    </w:r>
    <w:r w:rsidR="00F5353E">
      <w:rPr>
        <w:noProof/>
      </w:rPr>
      <w:t>1</w:t>
    </w:r>
    <w:r w:rsidR="00B9140A">
      <w:rPr>
        <w:noProof/>
      </w:rPr>
      <w:fldChar w:fldCharType="end"/>
    </w:r>
    <w:r>
      <w:t xml:space="preserve"> of </w:t>
    </w:r>
    <w:r w:rsidR="004B7AC1">
      <w:rPr>
        <w:noProof/>
      </w:rPr>
      <w:fldChar w:fldCharType="begin"/>
    </w:r>
    <w:r w:rsidR="004B7AC1">
      <w:rPr>
        <w:noProof/>
      </w:rPr>
      <w:instrText xml:space="preserve"> NUMPAGES   \* MERGEFORMAT </w:instrText>
    </w:r>
    <w:r w:rsidR="004B7AC1">
      <w:rPr>
        <w:noProof/>
      </w:rPr>
      <w:fldChar w:fldCharType="separate"/>
    </w:r>
    <w:r w:rsidR="00F5353E">
      <w:rPr>
        <w:noProof/>
      </w:rPr>
      <w:t>8</w:t>
    </w:r>
    <w:r w:rsidR="004B7AC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304BC6" w14:textId="77777777" w:rsidR="009A1963" w:rsidRDefault="009A1963">
      <w:r>
        <w:separator/>
      </w:r>
    </w:p>
  </w:footnote>
  <w:footnote w:type="continuationSeparator" w:id="0">
    <w:p w14:paraId="1103BDFE" w14:textId="77777777" w:rsidR="009A1963" w:rsidRDefault="009A19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FE0A96" w14:textId="77777777" w:rsidR="009A1963" w:rsidRPr="00B777AF" w:rsidRDefault="009A1963" w:rsidP="00480C09">
    <w:pPr>
      <w:rPr>
        <w:rFonts w:ascii="Times New Roman Bold" w:hAnsi="Times New Roman Bold"/>
        <w:b/>
        <w:bCs/>
        <w:smallCaps/>
        <w:color w:val="00548C"/>
        <w:sz w:val="28"/>
      </w:rPr>
    </w:pPr>
    <w:r w:rsidRPr="00B777AF">
      <w:rPr>
        <w:rFonts w:ascii="Times New Roman Bold" w:hAnsi="Times New Roman Bold"/>
        <w:b/>
        <w:bCs/>
        <w:smallCaps/>
        <w:color w:val="00548C"/>
        <w:sz w:val="28"/>
      </w:rPr>
      <w:t>Clinical Policy</w:t>
    </w:r>
    <w:r w:rsidRPr="00B777AF">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sidR="00430771">
      <w:rPr>
        <w:noProof/>
        <w:color w:val="00548C"/>
      </w:rPr>
      <w:drawing>
        <wp:inline distT="0" distB="0" distL="0" distR="0" wp14:anchorId="23C6AF36" wp14:editId="183C6357">
          <wp:extent cx="904875" cy="238125"/>
          <wp:effectExtent l="0" t="0" r="9525" b="9525"/>
          <wp:docPr id="1" name="Picture 3" descr="http://intranet/companywidesites/marketing/Corporate%20Marketing%20Materials/Centene%20Corporate%20Logos/Centene%20Color%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ntranet/companywidesites/marketing/Corporate%20Marketing%20Materials/Centene%20Corporate%20Logos/Centene%20Color%20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238125"/>
                  </a:xfrm>
                  <a:prstGeom prst="rect">
                    <a:avLst/>
                  </a:prstGeom>
                  <a:noFill/>
                  <a:ln>
                    <a:noFill/>
                  </a:ln>
                </pic:spPr>
              </pic:pic>
            </a:graphicData>
          </a:graphic>
        </wp:inline>
      </w:drawing>
    </w:r>
  </w:p>
  <w:p w14:paraId="32E8FD87" w14:textId="36FD1956" w:rsidR="009A1963" w:rsidRPr="00B777AF" w:rsidRDefault="009A1963" w:rsidP="00B777AF">
    <w:pPr>
      <w:rPr>
        <w:color w:val="00548C"/>
      </w:rPr>
    </w:pPr>
    <w:r>
      <w:rPr>
        <w:color w:val="00548C"/>
      </w:rPr>
      <w:t xml:space="preserve">Fertility Preservation </w:t>
    </w:r>
  </w:p>
  <w:p w14:paraId="2F52E023" w14:textId="77777777" w:rsidR="009A1963" w:rsidRDefault="009A196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8947A" w14:textId="77777777" w:rsidR="009A1963" w:rsidRDefault="00430771" w:rsidP="00B777AF">
    <w:pPr>
      <w:pStyle w:val="Header"/>
      <w:jc w:val="right"/>
    </w:pPr>
    <w:r>
      <w:rPr>
        <w:noProof/>
      </w:rPr>
      <w:drawing>
        <wp:inline distT="0" distB="0" distL="0" distR="0" wp14:anchorId="5FBBC756" wp14:editId="41DB1A10">
          <wp:extent cx="1362075" cy="333375"/>
          <wp:effectExtent l="0" t="0" r="9525" b="9525"/>
          <wp:docPr id="2" name="Picture 2" descr="http://intranet/companywidesites/marketing/Corporate%20Marketing%20Materials/Centene%20Corporate%20Logos/Centene%20Color%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tranet/companywidesites/marketing/Corporate%20Marketing%20Materials/Centene%20Corporate%20Logos/Centene%20Color%20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3333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F5AE7"/>
    <w:multiLevelType w:val="hybridMultilevel"/>
    <w:tmpl w:val="371A41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E451A6"/>
    <w:multiLevelType w:val="hybridMultilevel"/>
    <w:tmpl w:val="07C0A8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0F">
      <w:start w:val="1"/>
      <w:numFmt w:val="decimal"/>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F8E7697"/>
    <w:multiLevelType w:val="hybridMultilevel"/>
    <w:tmpl w:val="96D856B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31E0E99"/>
    <w:multiLevelType w:val="hybridMultilevel"/>
    <w:tmpl w:val="5FFA82B8"/>
    <w:lvl w:ilvl="0" w:tplc="04090019">
      <w:start w:val="1"/>
      <w:numFmt w:val="lowerLetter"/>
      <w:lvlText w:val="%1."/>
      <w:lvlJc w:val="left"/>
      <w:pPr>
        <w:ind w:left="1440" w:hanging="360"/>
      </w:pPr>
      <w:rPr>
        <w:rFonts w:cs="Times New Roman"/>
      </w:rPr>
    </w:lvl>
    <w:lvl w:ilvl="1" w:tplc="0409001B">
      <w:start w:val="1"/>
      <w:numFmt w:val="lowerRoman"/>
      <w:lvlText w:val="%2."/>
      <w:lvlJc w:val="right"/>
      <w:pPr>
        <w:ind w:left="2160" w:hanging="360"/>
      </w:pPr>
      <w:rPr>
        <w:rFonts w:cs="Times New Roman" w:hint="default"/>
        <w:sz w:val="20"/>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15:restartNumberingAfterBreak="0">
    <w:nsid w:val="171007E8"/>
    <w:multiLevelType w:val="hybridMultilevel"/>
    <w:tmpl w:val="81E6CB82"/>
    <w:lvl w:ilvl="0" w:tplc="DEACF354">
      <w:start w:val="3"/>
      <w:numFmt w:val="decimal"/>
      <w:lvlText w:val="%1."/>
      <w:lvlJc w:val="left"/>
      <w:pPr>
        <w:tabs>
          <w:tab w:val="num" w:pos="780"/>
        </w:tabs>
        <w:ind w:left="780" w:hanging="360"/>
      </w:pPr>
      <w:rPr>
        <w:rFonts w:cs="Times New Roman" w:hint="default"/>
      </w:rPr>
    </w:lvl>
    <w:lvl w:ilvl="1" w:tplc="04090019" w:tentative="1">
      <w:start w:val="1"/>
      <w:numFmt w:val="lowerLetter"/>
      <w:lvlText w:val="%2."/>
      <w:lvlJc w:val="left"/>
      <w:pPr>
        <w:tabs>
          <w:tab w:val="num" w:pos="1500"/>
        </w:tabs>
        <w:ind w:left="1500" w:hanging="360"/>
      </w:pPr>
      <w:rPr>
        <w:rFonts w:cs="Times New Roman"/>
      </w:rPr>
    </w:lvl>
    <w:lvl w:ilvl="2" w:tplc="0409001B" w:tentative="1">
      <w:start w:val="1"/>
      <w:numFmt w:val="lowerRoman"/>
      <w:lvlText w:val="%3."/>
      <w:lvlJc w:val="right"/>
      <w:pPr>
        <w:tabs>
          <w:tab w:val="num" w:pos="2220"/>
        </w:tabs>
        <w:ind w:left="2220" w:hanging="180"/>
      </w:pPr>
      <w:rPr>
        <w:rFonts w:cs="Times New Roman"/>
      </w:rPr>
    </w:lvl>
    <w:lvl w:ilvl="3" w:tplc="0409000F" w:tentative="1">
      <w:start w:val="1"/>
      <w:numFmt w:val="decimal"/>
      <w:lvlText w:val="%4."/>
      <w:lvlJc w:val="left"/>
      <w:pPr>
        <w:tabs>
          <w:tab w:val="num" w:pos="2940"/>
        </w:tabs>
        <w:ind w:left="2940" w:hanging="360"/>
      </w:pPr>
      <w:rPr>
        <w:rFonts w:cs="Times New Roman"/>
      </w:rPr>
    </w:lvl>
    <w:lvl w:ilvl="4" w:tplc="04090019" w:tentative="1">
      <w:start w:val="1"/>
      <w:numFmt w:val="lowerLetter"/>
      <w:lvlText w:val="%5."/>
      <w:lvlJc w:val="left"/>
      <w:pPr>
        <w:tabs>
          <w:tab w:val="num" w:pos="3660"/>
        </w:tabs>
        <w:ind w:left="3660" w:hanging="360"/>
      </w:pPr>
      <w:rPr>
        <w:rFonts w:cs="Times New Roman"/>
      </w:rPr>
    </w:lvl>
    <w:lvl w:ilvl="5" w:tplc="0409001B" w:tentative="1">
      <w:start w:val="1"/>
      <w:numFmt w:val="lowerRoman"/>
      <w:lvlText w:val="%6."/>
      <w:lvlJc w:val="right"/>
      <w:pPr>
        <w:tabs>
          <w:tab w:val="num" w:pos="4380"/>
        </w:tabs>
        <w:ind w:left="4380" w:hanging="180"/>
      </w:pPr>
      <w:rPr>
        <w:rFonts w:cs="Times New Roman"/>
      </w:rPr>
    </w:lvl>
    <w:lvl w:ilvl="6" w:tplc="0409000F" w:tentative="1">
      <w:start w:val="1"/>
      <w:numFmt w:val="decimal"/>
      <w:lvlText w:val="%7."/>
      <w:lvlJc w:val="left"/>
      <w:pPr>
        <w:tabs>
          <w:tab w:val="num" w:pos="5100"/>
        </w:tabs>
        <w:ind w:left="5100" w:hanging="360"/>
      </w:pPr>
      <w:rPr>
        <w:rFonts w:cs="Times New Roman"/>
      </w:rPr>
    </w:lvl>
    <w:lvl w:ilvl="7" w:tplc="04090019" w:tentative="1">
      <w:start w:val="1"/>
      <w:numFmt w:val="lowerLetter"/>
      <w:lvlText w:val="%8."/>
      <w:lvlJc w:val="left"/>
      <w:pPr>
        <w:tabs>
          <w:tab w:val="num" w:pos="5820"/>
        </w:tabs>
        <w:ind w:left="5820" w:hanging="360"/>
      </w:pPr>
      <w:rPr>
        <w:rFonts w:cs="Times New Roman"/>
      </w:rPr>
    </w:lvl>
    <w:lvl w:ilvl="8" w:tplc="0409001B" w:tentative="1">
      <w:start w:val="1"/>
      <w:numFmt w:val="lowerRoman"/>
      <w:lvlText w:val="%9."/>
      <w:lvlJc w:val="right"/>
      <w:pPr>
        <w:tabs>
          <w:tab w:val="num" w:pos="6540"/>
        </w:tabs>
        <w:ind w:left="6540" w:hanging="180"/>
      </w:pPr>
      <w:rPr>
        <w:rFonts w:cs="Times New Roman"/>
      </w:rPr>
    </w:lvl>
  </w:abstractNum>
  <w:abstractNum w:abstractNumId="5" w15:restartNumberingAfterBreak="0">
    <w:nsid w:val="1B763293"/>
    <w:multiLevelType w:val="multilevel"/>
    <w:tmpl w:val="8D74383E"/>
    <w:lvl w:ilvl="0">
      <w:start w:val="1"/>
      <w:numFmt w:val="decimal"/>
      <w:lvlText w:val="%1."/>
      <w:lvlJc w:val="left"/>
      <w:pPr>
        <w:tabs>
          <w:tab w:val="num" w:pos="360"/>
        </w:tabs>
        <w:ind w:left="360" w:hanging="360"/>
      </w:pPr>
      <w:rPr>
        <w:rFonts w:ascii="System" w:hAnsi="System" w:cs="Times New Roman" w:hint="default"/>
        <w:b w:val="0"/>
        <w:i w:val="0"/>
        <w:color w:val="auto"/>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1E7A6984"/>
    <w:multiLevelType w:val="hybridMultilevel"/>
    <w:tmpl w:val="387EA7BC"/>
    <w:lvl w:ilvl="0" w:tplc="5C220D9E">
      <w:start w:val="1"/>
      <w:numFmt w:val="decimal"/>
      <w:lvlText w:val="%1."/>
      <w:lvlJc w:val="left"/>
      <w:pPr>
        <w:ind w:left="720" w:hanging="360"/>
      </w:pPr>
      <w:rPr>
        <w:rFonts w:cs="Times New Roman" w:hint="default"/>
        <w:b w:val="0"/>
      </w:rPr>
    </w:lvl>
    <w:lvl w:ilvl="1" w:tplc="04090019">
      <w:start w:val="1"/>
      <w:numFmt w:val="lowerLetter"/>
      <w:lvlText w:val="%2."/>
      <w:lvlJc w:val="left"/>
      <w:pPr>
        <w:ind w:left="1440" w:hanging="360"/>
      </w:pPr>
      <w:rPr>
        <w:rFont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E500B2"/>
    <w:multiLevelType w:val="hybridMultilevel"/>
    <w:tmpl w:val="CB5AF886"/>
    <w:lvl w:ilvl="0" w:tplc="6CC06064">
      <w:start w:val="1"/>
      <w:numFmt w:val="lowerLetter"/>
      <w:lvlText w:val="%1."/>
      <w:lvlJc w:val="left"/>
      <w:pPr>
        <w:ind w:left="144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26A01436"/>
    <w:multiLevelType w:val="hybridMultilevel"/>
    <w:tmpl w:val="D236E140"/>
    <w:lvl w:ilvl="0" w:tplc="5C220D9E">
      <w:start w:val="1"/>
      <w:numFmt w:val="decimal"/>
      <w:lvlText w:val="%1."/>
      <w:lvlJc w:val="left"/>
      <w:pPr>
        <w:ind w:left="720" w:hanging="360"/>
      </w:pPr>
      <w:rPr>
        <w:rFonts w:cs="Times New Roman" w:hint="default"/>
        <w:b w:val="0"/>
      </w:rPr>
    </w:lvl>
    <w:lvl w:ilvl="1" w:tplc="04090019">
      <w:start w:val="1"/>
      <w:numFmt w:val="lowerLetter"/>
      <w:lvlText w:val="%2."/>
      <w:lvlJc w:val="left"/>
      <w:pPr>
        <w:ind w:left="1440" w:hanging="360"/>
      </w:pPr>
      <w:rPr>
        <w:rFont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C75F0A"/>
    <w:multiLevelType w:val="hybridMultilevel"/>
    <w:tmpl w:val="D236E140"/>
    <w:lvl w:ilvl="0" w:tplc="5C220D9E">
      <w:start w:val="1"/>
      <w:numFmt w:val="decimal"/>
      <w:lvlText w:val="%1."/>
      <w:lvlJc w:val="left"/>
      <w:pPr>
        <w:ind w:left="720" w:hanging="360"/>
      </w:pPr>
      <w:rPr>
        <w:rFonts w:cs="Times New Roman" w:hint="default"/>
        <w:b w:val="0"/>
      </w:rPr>
    </w:lvl>
    <w:lvl w:ilvl="1" w:tplc="04090019">
      <w:start w:val="1"/>
      <w:numFmt w:val="lowerLetter"/>
      <w:lvlText w:val="%2."/>
      <w:lvlJc w:val="left"/>
      <w:pPr>
        <w:ind w:left="1440" w:hanging="360"/>
      </w:pPr>
      <w:rPr>
        <w:rFont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251B1E"/>
    <w:multiLevelType w:val="hybridMultilevel"/>
    <w:tmpl w:val="B204E92A"/>
    <w:lvl w:ilvl="0" w:tplc="26CA68AC">
      <w:start w:val="1"/>
      <w:numFmt w:val="upperRoman"/>
      <w:lvlText w:val="%1."/>
      <w:lvlJc w:val="left"/>
      <w:pPr>
        <w:ind w:left="720" w:hanging="360"/>
      </w:pPr>
      <w:rPr>
        <w:rFonts w:cs="Times New Roman" w:hint="default"/>
        <w:b/>
      </w:rPr>
    </w:lvl>
    <w:lvl w:ilvl="1" w:tplc="56CC320A">
      <w:start w:val="1"/>
      <w:numFmt w:val="upperLetter"/>
      <w:lvlText w:val="%2."/>
      <w:lvlJc w:val="left"/>
      <w:pPr>
        <w:ind w:left="1440" w:hanging="360"/>
      </w:pPr>
      <w:rPr>
        <w:rFonts w:cs="Times New Roman"/>
        <w:b/>
      </w:rPr>
    </w:lvl>
    <w:lvl w:ilvl="2" w:tplc="B0D8E88E">
      <w:start w:val="1"/>
      <w:numFmt w:val="decimal"/>
      <w:lvlText w:val="%3."/>
      <w:lvlJc w:val="left"/>
      <w:pPr>
        <w:ind w:left="2160" w:hanging="180"/>
      </w:pPr>
      <w:rPr>
        <w:rFonts w:cs="Times New Roman"/>
        <w:b/>
      </w:rPr>
    </w:lvl>
    <w:lvl w:ilvl="3" w:tplc="04090019">
      <w:start w:val="1"/>
      <w:numFmt w:val="lowerLetter"/>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31497053"/>
    <w:multiLevelType w:val="hybridMultilevel"/>
    <w:tmpl w:val="BE262ED6"/>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3586063C"/>
    <w:multiLevelType w:val="hybridMultilevel"/>
    <w:tmpl w:val="04382478"/>
    <w:lvl w:ilvl="0" w:tplc="5C220D9E">
      <w:start w:val="1"/>
      <w:numFmt w:val="decimal"/>
      <w:lvlText w:val="%1."/>
      <w:lvlJc w:val="left"/>
      <w:pPr>
        <w:ind w:left="720" w:hanging="360"/>
      </w:pPr>
      <w:rPr>
        <w:rFonts w:cs="Times New Roman" w:hint="default"/>
        <w:b w:val="0"/>
      </w:rPr>
    </w:lvl>
    <w:lvl w:ilvl="1" w:tplc="6CC06064">
      <w:start w:val="1"/>
      <w:numFmt w:val="lowerLetter"/>
      <w:lvlText w:val="%2."/>
      <w:lvlJc w:val="left"/>
      <w:pPr>
        <w:ind w:left="1440" w:hanging="360"/>
      </w:pPr>
      <w:rPr>
        <w:rFonts w:cs="Times New Roman" w:hint="default"/>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6B68E6"/>
    <w:multiLevelType w:val="hybridMultilevel"/>
    <w:tmpl w:val="F330294A"/>
    <w:lvl w:ilvl="0" w:tplc="D0FE5CC8">
      <w:start w:val="1"/>
      <w:numFmt w:val="lowerRoman"/>
      <w:lvlText w:val="%1."/>
      <w:lvlJc w:val="left"/>
      <w:pPr>
        <w:ind w:left="3960" w:hanging="360"/>
      </w:pPr>
      <w:rPr>
        <w:rFonts w:cs="Times New Roman" w:hint="default"/>
      </w:rPr>
    </w:lvl>
    <w:lvl w:ilvl="1" w:tplc="04090019" w:tentative="1">
      <w:start w:val="1"/>
      <w:numFmt w:val="lowerLetter"/>
      <w:lvlText w:val="%2."/>
      <w:lvlJc w:val="left"/>
      <w:pPr>
        <w:ind w:left="4680" w:hanging="360"/>
      </w:pPr>
      <w:rPr>
        <w:rFonts w:cs="Times New Roman"/>
      </w:rPr>
    </w:lvl>
    <w:lvl w:ilvl="2" w:tplc="0409001B" w:tentative="1">
      <w:start w:val="1"/>
      <w:numFmt w:val="lowerRoman"/>
      <w:lvlText w:val="%3."/>
      <w:lvlJc w:val="right"/>
      <w:pPr>
        <w:ind w:left="5400" w:hanging="180"/>
      </w:pPr>
      <w:rPr>
        <w:rFonts w:cs="Times New Roman"/>
      </w:rPr>
    </w:lvl>
    <w:lvl w:ilvl="3" w:tplc="0409000F" w:tentative="1">
      <w:start w:val="1"/>
      <w:numFmt w:val="decimal"/>
      <w:lvlText w:val="%4."/>
      <w:lvlJc w:val="left"/>
      <w:pPr>
        <w:ind w:left="6120" w:hanging="360"/>
      </w:pPr>
      <w:rPr>
        <w:rFonts w:cs="Times New Roman"/>
      </w:rPr>
    </w:lvl>
    <w:lvl w:ilvl="4" w:tplc="04090019" w:tentative="1">
      <w:start w:val="1"/>
      <w:numFmt w:val="lowerLetter"/>
      <w:lvlText w:val="%5."/>
      <w:lvlJc w:val="left"/>
      <w:pPr>
        <w:ind w:left="6840" w:hanging="360"/>
      </w:pPr>
      <w:rPr>
        <w:rFonts w:cs="Times New Roman"/>
      </w:rPr>
    </w:lvl>
    <w:lvl w:ilvl="5" w:tplc="0409001B" w:tentative="1">
      <w:start w:val="1"/>
      <w:numFmt w:val="lowerRoman"/>
      <w:lvlText w:val="%6."/>
      <w:lvlJc w:val="right"/>
      <w:pPr>
        <w:ind w:left="7560" w:hanging="180"/>
      </w:pPr>
      <w:rPr>
        <w:rFonts w:cs="Times New Roman"/>
      </w:rPr>
    </w:lvl>
    <w:lvl w:ilvl="6" w:tplc="0409000F" w:tentative="1">
      <w:start w:val="1"/>
      <w:numFmt w:val="decimal"/>
      <w:lvlText w:val="%7."/>
      <w:lvlJc w:val="left"/>
      <w:pPr>
        <w:ind w:left="8280" w:hanging="360"/>
      </w:pPr>
      <w:rPr>
        <w:rFonts w:cs="Times New Roman"/>
      </w:rPr>
    </w:lvl>
    <w:lvl w:ilvl="7" w:tplc="04090019" w:tentative="1">
      <w:start w:val="1"/>
      <w:numFmt w:val="lowerLetter"/>
      <w:lvlText w:val="%8."/>
      <w:lvlJc w:val="left"/>
      <w:pPr>
        <w:ind w:left="9000" w:hanging="360"/>
      </w:pPr>
      <w:rPr>
        <w:rFonts w:cs="Times New Roman"/>
      </w:rPr>
    </w:lvl>
    <w:lvl w:ilvl="8" w:tplc="0409001B" w:tentative="1">
      <w:start w:val="1"/>
      <w:numFmt w:val="lowerRoman"/>
      <w:lvlText w:val="%9."/>
      <w:lvlJc w:val="right"/>
      <w:pPr>
        <w:ind w:left="9720" w:hanging="180"/>
      </w:pPr>
      <w:rPr>
        <w:rFonts w:cs="Times New Roman"/>
      </w:rPr>
    </w:lvl>
  </w:abstractNum>
  <w:abstractNum w:abstractNumId="14" w15:restartNumberingAfterBreak="0">
    <w:nsid w:val="3A231C77"/>
    <w:multiLevelType w:val="hybridMultilevel"/>
    <w:tmpl w:val="553682CE"/>
    <w:lvl w:ilvl="0" w:tplc="A244BB9A">
      <w:start w:val="1"/>
      <w:numFmt w:val="upperLetter"/>
      <w:lvlText w:val="%1."/>
      <w:lvlJc w:val="left"/>
      <w:pPr>
        <w:ind w:left="1440" w:hanging="360"/>
      </w:pPr>
      <w:rPr>
        <w:rFonts w:cs="Times New Roman"/>
        <w:b/>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5" w15:restartNumberingAfterBreak="0">
    <w:nsid w:val="3EBE345C"/>
    <w:multiLevelType w:val="hybridMultilevel"/>
    <w:tmpl w:val="387EA7BC"/>
    <w:lvl w:ilvl="0" w:tplc="5C220D9E">
      <w:start w:val="1"/>
      <w:numFmt w:val="decimal"/>
      <w:lvlText w:val="%1."/>
      <w:lvlJc w:val="left"/>
      <w:pPr>
        <w:ind w:left="720" w:hanging="360"/>
      </w:pPr>
      <w:rPr>
        <w:rFonts w:cs="Times New Roman" w:hint="default"/>
        <w:b w:val="0"/>
      </w:rPr>
    </w:lvl>
    <w:lvl w:ilvl="1" w:tplc="04090019">
      <w:start w:val="1"/>
      <w:numFmt w:val="lowerLetter"/>
      <w:lvlText w:val="%2."/>
      <w:lvlJc w:val="left"/>
      <w:pPr>
        <w:ind w:left="1440" w:hanging="360"/>
      </w:pPr>
      <w:rPr>
        <w:rFont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A169B6"/>
    <w:multiLevelType w:val="hybridMultilevel"/>
    <w:tmpl w:val="015CA38C"/>
    <w:lvl w:ilvl="0" w:tplc="419E9EF2">
      <w:start w:val="1"/>
      <w:numFmt w:val="decimal"/>
      <w:lvlText w:val="%1."/>
      <w:lvlJc w:val="left"/>
      <w:pPr>
        <w:tabs>
          <w:tab w:val="num" w:pos="360"/>
        </w:tabs>
        <w:ind w:left="360" w:hanging="360"/>
      </w:pPr>
      <w:rPr>
        <w:rFonts w:ascii="Times New Roman" w:hAnsi="Times New Roman" w:cs="Times New Roman" w:hint="default"/>
        <w:b w:val="0"/>
        <w:i w:val="0"/>
        <w:color w:val="auto"/>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54D365D0"/>
    <w:multiLevelType w:val="hybridMultilevel"/>
    <w:tmpl w:val="D55A7940"/>
    <w:lvl w:ilvl="0" w:tplc="F85C9D98">
      <w:start w:val="1"/>
      <w:numFmt w:val="upperLetter"/>
      <w:lvlText w:val="%1."/>
      <w:lvlJc w:val="left"/>
      <w:pPr>
        <w:ind w:left="720" w:hanging="360"/>
      </w:pPr>
      <w:rPr>
        <w:rFonts w:cs="Times New Roman"/>
        <w:b w:val="0"/>
      </w:rPr>
    </w:lvl>
    <w:lvl w:ilvl="1" w:tplc="0409000F">
      <w:start w:val="1"/>
      <w:numFmt w:val="decimal"/>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550746AA"/>
    <w:multiLevelType w:val="hybridMultilevel"/>
    <w:tmpl w:val="7B9A4726"/>
    <w:lvl w:ilvl="0" w:tplc="04090019">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9" w15:restartNumberingAfterBreak="0">
    <w:nsid w:val="5C8B1A41"/>
    <w:multiLevelType w:val="hybridMultilevel"/>
    <w:tmpl w:val="C08E9C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639C1206"/>
    <w:multiLevelType w:val="hybridMultilevel"/>
    <w:tmpl w:val="22849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D1434D"/>
    <w:multiLevelType w:val="hybridMultilevel"/>
    <w:tmpl w:val="3806A69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6CDA291D"/>
    <w:multiLevelType w:val="hybridMultilevel"/>
    <w:tmpl w:val="7EC853FA"/>
    <w:lvl w:ilvl="0" w:tplc="3F32D5D8">
      <w:start w:val="2"/>
      <w:numFmt w:val="upperLetter"/>
      <w:lvlText w:val="%1."/>
      <w:lvlJc w:val="left"/>
      <w:pPr>
        <w:tabs>
          <w:tab w:val="num" w:pos="780"/>
        </w:tabs>
        <w:ind w:left="780" w:hanging="360"/>
      </w:pPr>
      <w:rPr>
        <w:rFonts w:cs="Times New Roman" w:hint="default"/>
      </w:rPr>
    </w:lvl>
    <w:lvl w:ilvl="1" w:tplc="04090019" w:tentative="1">
      <w:start w:val="1"/>
      <w:numFmt w:val="lowerLetter"/>
      <w:lvlText w:val="%2."/>
      <w:lvlJc w:val="left"/>
      <w:pPr>
        <w:tabs>
          <w:tab w:val="num" w:pos="1500"/>
        </w:tabs>
        <w:ind w:left="1500" w:hanging="360"/>
      </w:pPr>
      <w:rPr>
        <w:rFonts w:cs="Times New Roman"/>
      </w:rPr>
    </w:lvl>
    <w:lvl w:ilvl="2" w:tplc="0409001B" w:tentative="1">
      <w:start w:val="1"/>
      <w:numFmt w:val="lowerRoman"/>
      <w:lvlText w:val="%3."/>
      <w:lvlJc w:val="right"/>
      <w:pPr>
        <w:tabs>
          <w:tab w:val="num" w:pos="2220"/>
        </w:tabs>
        <w:ind w:left="2220" w:hanging="180"/>
      </w:pPr>
      <w:rPr>
        <w:rFonts w:cs="Times New Roman"/>
      </w:rPr>
    </w:lvl>
    <w:lvl w:ilvl="3" w:tplc="0409000F" w:tentative="1">
      <w:start w:val="1"/>
      <w:numFmt w:val="decimal"/>
      <w:lvlText w:val="%4."/>
      <w:lvlJc w:val="left"/>
      <w:pPr>
        <w:tabs>
          <w:tab w:val="num" w:pos="2940"/>
        </w:tabs>
        <w:ind w:left="2940" w:hanging="360"/>
      </w:pPr>
      <w:rPr>
        <w:rFonts w:cs="Times New Roman"/>
      </w:rPr>
    </w:lvl>
    <w:lvl w:ilvl="4" w:tplc="04090019" w:tentative="1">
      <w:start w:val="1"/>
      <w:numFmt w:val="lowerLetter"/>
      <w:lvlText w:val="%5."/>
      <w:lvlJc w:val="left"/>
      <w:pPr>
        <w:tabs>
          <w:tab w:val="num" w:pos="3660"/>
        </w:tabs>
        <w:ind w:left="3660" w:hanging="360"/>
      </w:pPr>
      <w:rPr>
        <w:rFonts w:cs="Times New Roman"/>
      </w:rPr>
    </w:lvl>
    <w:lvl w:ilvl="5" w:tplc="0409001B" w:tentative="1">
      <w:start w:val="1"/>
      <w:numFmt w:val="lowerRoman"/>
      <w:lvlText w:val="%6."/>
      <w:lvlJc w:val="right"/>
      <w:pPr>
        <w:tabs>
          <w:tab w:val="num" w:pos="4380"/>
        </w:tabs>
        <w:ind w:left="4380" w:hanging="180"/>
      </w:pPr>
      <w:rPr>
        <w:rFonts w:cs="Times New Roman"/>
      </w:rPr>
    </w:lvl>
    <w:lvl w:ilvl="6" w:tplc="0409000F" w:tentative="1">
      <w:start w:val="1"/>
      <w:numFmt w:val="decimal"/>
      <w:lvlText w:val="%7."/>
      <w:lvlJc w:val="left"/>
      <w:pPr>
        <w:tabs>
          <w:tab w:val="num" w:pos="5100"/>
        </w:tabs>
        <w:ind w:left="5100" w:hanging="360"/>
      </w:pPr>
      <w:rPr>
        <w:rFonts w:cs="Times New Roman"/>
      </w:rPr>
    </w:lvl>
    <w:lvl w:ilvl="7" w:tplc="04090019" w:tentative="1">
      <w:start w:val="1"/>
      <w:numFmt w:val="lowerLetter"/>
      <w:lvlText w:val="%8."/>
      <w:lvlJc w:val="left"/>
      <w:pPr>
        <w:tabs>
          <w:tab w:val="num" w:pos="5820"/>
        </w:tabs>
        <w:ind w:left="5820" w:hanging="360"/>
      </w:pPr>
      <w:rPr>
        <w:rFonts w:cs="Times New Roman"/>
      </w:rPr>
    </w:lvl>
    <w:lvl w:ilvl="8" w:tplc="0409001B" w:tentative="1">
      <w:start w:val="1"/>
      <w:numFmt w:val="lowerRoman"/>
      <w:lvlText w:val="%9."/>
      <w:lvlJc w:val="right"/>
      <w:pPr>
        <w:tabs>
          <w:tab w:val="num" w:pos="6540"/>
        </w:tabs>
        <w:ind w:left="6540" w:hanging="180"/>
      </w:pPr>
      <w:rPr>
        <w:rFonts w:cs="Times New Roman"/>
      </w:rPr>
    </w:lvl>
  </w:abstractNum>
  <w:abstractNum w:abstractNumId="23" w15:restartNumberingAfterBreak="0">
    <w:nsid w:val="6F600535"/>
    <w:multiLevelType w:val="hybridMultilevel"/>
    <w:tmpl w:val="0A58192A"/>
    <w:lvl w:ilvl="0" w:tplc="04090019">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4" w15:restartNumberingAfterBreak="0">
    <w:nsid w:val="7D1E3D0A"/>
    <w:multiLevelType w:val="hybridMultilevel"/>
    <w:tmpl w:val="6CF4423A"/>
    <w:lvl w:ilvl="0" w:tplc="6BAC0802">
      <w:start w:val="1"/>
      <w:numFmt w:val="upperRoman"/>
      <w:lvlText w:val="%1."/>
      <w:lvlJc w:val="left"/>
      <w:pPr>
        <w:ind w:left="720" w:hanging="360"/>
      </w:pPr>
      <w:rPr>
        <w:rFonts w:cs="Times New Roman" w:hint="default"/>
        <w:b/>
        <w:i w:val="0"/>
      </w:rPr>
    </w:lvl>
    <w:lvl w:ilvl="1" w:tplc="04090015">
      <w:start w:val="1"/>
      <w:numFmt w:val="upperLetter"/>
      <w:lvlText w:val="%2."/>
      <w:lvlJc w:val="left"/>
      <w:pPr>
        <w:ind w:left="1440" w:hanging="360"/>
      </w:pPr>
      <w:rPr>
        <w:rFonts w:cs="Times New Roman"/>
      </w:rPr>
    </w:lvl>
    <w:lvl w:ilvl="2" w:tplc="0409000F">
      <w:start w:val="1"/>
      <w:numFmt w:val="decimal"/>
      <w:lvlText w:val="%3."/>
      <w:lvlJc w:val="left"/>
      <w:pPr>
        <w:ind w:left="360" w:hanging="180"/>
      </w:pPr>
      <w:rPr>
        <w:rFonts w:cs="Times New Roman"/>
      </w:rPr>
    </w:lvl>
    <w:lvl w:ilvl="3" w:tplc="04090019">
      <w:start w:val="1"/>
      <w:numFmt w:val="lowerLetter"/>
      <w:lvlText w:val="%4."/>
      <w:lvlJc w:val="left"/>
      <w:pPr>
        <w:ind w:left="2880" w:hanging="360"/>
      </w:pPr>
      <w:rPr>
        <w:rFonts w:cs="Times New Roman"/>
      </w:rPr>
    </w:lvl>
    <w:lvl w:ilvl="4" w:tplc="58AADE0C">
      <w:start w:val="1"/>
      <w:numFmt w:val="lowerRoman"/>
      <w:lvlText w:val="%5."/>
      <w:lvlJc w:val="left"/>
      <w:pPr>
        <w:ind w:left="3600" w:hanging="360"/>
      </w:pPr>
      <w:rPr>
        <w:rFonts w:cs="Times New Roman" w:hint="default"/>
        <w:sz w:val="20"/>
      </w:rPr>
    </w:lvl>
    <w:lvl w:ilvl="5" w:tplc="04090017">
      <w:start w:val="1"/>
      <w:numFmt w:val="lowerLetter"/>
      <w:lvlText w:val="%6)"/>
      <w:lvlJc w:val="lef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7D3E10B5"/>
    <w:multiLevelType w:val="hybridMultilevel"/>
    <w:tmpl w:val="618CB542"/>
    <w:lvl w:ilvl="0" w:tplc="41745BB8">
      <w:start w:val="1"/>
      <w:numFmt w:val="bullet"/>
      <w:lvlText w:val=""/>
      <w:lvlJc w:val="left"/>
      <w:pPr>
        <w:tabs>
          <w:tab w:val="num" w:pos="720"/>
        </w:tabs>
        <w:ind w:left="720" w:hanging="360"/>
      </w:pPr>
      <w:rPr>
        <w:rFonts w:ascii="Symbol" w:hAnsi="Symbol" w:hint="default"/>
        <w:sz w:val="20"/>
      </w:rPr>
    </w:lvl>
    <w:lvl w:ilvl="1" w:tplc="28DA9A74" w:tentative="1">
      <w:start w:val="1"/>
      <w:numFmt w:val="bullet"/>
      <w:lvlText w:val="o"/>
      <w:lvlJc w:val="left"/>
      <w:pPr>
        <w:tabs>
          <w:tab w:val="num" w:pos="1440"/>
        </w:tabs>
        <w:ind w:left="1440" w:hanging="360"/>
      </w:pPr>
      <w:rPr>
        <w:rFonts w:ascii="Courier New" w:hAnsi="Courier New" w:hint="default"/>
        <w:sz w:val="20"/>
      </w:rPr>
    </w:lvl>
    <w:lvl w:ilvl="2" w:tplc="04F23BE2" w:tentative="1">
      <w:start w:val="1"/>
      <w:numFmt w:val="bullet"/>
      <w:lvlText w:val=""/>
      <w:lvlJc w:val="left"/>
      <w:pPr>
        <w:tabs>
          <w:tab w:val="num" w:pos="2160"/>
        </w:tabs>
        <w:ind w:left="2160" w:hanging="360"/>
      </w:pPr>
      <w:rPr>
        <w:rFonts w:ascii="Wingdings" w:hAnsi="Wingdings" w:hint="default"/>
        <w:sz w:val="20"/>
      </w:rPr>
    </w:lvl>
    <w:lvl w:ilvl="3" w:tplc="B36E250C" w:tentative="1">
      <w:start w:val="1"/>
      <w:numFmt w:val="bullet"/>
      <w:lvlText w:val=""/>
      <w:lvlJc w:val="left"/>
      <w:pPr>
        <w:tabs>
          <w:tab w:val="num" w:pos="2880"/>
        </w:tabs>
        <w:ind w:left="2880" w:hanging="360"/>
      </w:pPr>
      <w:rPr>
        <w:rFonts w:ascii="Wingdings" w:hAnsi="Wingdings" w:hint="default"/>
        <w:sz w:val="20"/>
      </w:rPr>
    </w:lvl>
    <w:lvl w:ilvl="4" w:tplc="A98011B6" w:tentative="1">
      <w:start w:val="1"/>
      <w:numFmt w:val="bullet"/>
      <w:lvlText w:val=""/>
      <w:lvlJc w:val="left"/>
      <w:pPr>
        <w:tabs>
          <w:tab w:val="num" w:pos="3600"/>
        </w:tabs>
        <w:ind w:left="3600" w:hanging="360"/>
      </w:pPr>
      <w:rPr>
        <w:rFonts w:ascii="Wingdings" w:hAnsi="Wingdings" w:hint="default"/>
        <w:sz w:val="20"/>
      </w:rPr>
    </w:lvl>
    <w:lvl w:ilvl="5" w:tplc="B5309476" w:tentative="1">
      <w:start w:val="1"/>
      <w:numFmt w:val="bullet"/>
      <w:lvlText w:val=""/>
      <w:lvlJc w:val="left"/>
      <w:pPr>
        <w:tabs>
          <w:tab w:val="num" w:pos="4320"/>
        </w:tabs>
        <w:ind w:left="4320" w:hanging="360"/>
      </w:pPr>
      <w:rPr>
        <w:rFonts w:ascii="Wingdings" w:hAnsi="Wingdings" w:hint="default"/>
        <w:sz w:val="20"/>
      </w:rPr>
    </w:lvl>
    <w:lvl w:ilvl="6" w:tplc="D5DCFE88" w:tentative="1">
      <w:start w:val="1"/>
      <w:numFmt w:val="bullet"/>
      <w:lvlText w:val=""/>
      <w:lvlJc w:val="left"/>
      <w:pPr>
        <w:tabs>
          <w:tab w:val="num" w:pos="5040"/>
        </w:tabs>
        <w:ind w:left="5040" w:hanging="360"/>
      </w:pPr>
      <w:rPr>
        <w:rFonts w:ascii="Wingdings" w:hAnsi="Wingdings" w:hint="default"/>
        <w:sz w:val="20"/>
      </w:rPr>
    </w:lvl>
    <w:lvl w:ilvl="7" w:tplc="700E33C4" w:tentative="1">
      <w:start w:val="1"/>
      <w:numFmt w:val="bullet"/>
      <w:lvlText w:val=""/>
      <w:lvlJc w:val="left"/>
      <w:pPr>
        <w:tabs>
          <w:tab w:val="num" w:pos="5760"/>
        </w:tabs>
        <w:ind w:left="5760" w:hanging="360"/>
      </w:pPr>
      <w:rPr>
        <w:rFonts w:ascii="Wingdings" w:hAnsi="Wingdings" w:hint="default"/>
        <w:sz w:val="20"/>
      </w:rPr>
    </w:lvl>
    <w:lvl w:ilvl="8" w:tplc="2C6EEB8C"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0"/>
  </w:num>
  <w:num w:numId="3">
    <w:abstractNumId w:val="10"/>
  </w:num>
  <w:num w:numId="4">
    <w:abstractNumId w:val="13"/>
  </w:num>
  <w:num w:numId="5">
    <w:abstractNumId w:val="14"/>
  </w:num>
  <w:num w:numId="6">
    <w:abstractNumId w:val="20"/>
  </w:num>
  <w:num w:numId="7">
    <w:abstractNumId w:val="21"/>
  </w:num>
  <w:num w:numId="8">
    <w:abstractNumId w:val="2"/>
  </w:num>
  <w:num w:numId="9">
    <w:abstractNumId w:val="17"/>
  </w:num>
  <w:num w:numId="10">
    <w:abstractNumId w:val="8"/>
  </w:num>
  <w:num w:numId="11">
    <w:abstractNumId w:val="24"/>
  </w:num>
  <w:num w:numId="12">
    <w:abstractNumId w:val="12"/>
  </w:num>
  <w:num w:numId="13">
    <w:abstractNumId w:val="11"/>
  </w:num>
  <w:num w:numId="14">
    <w:abstractNumId w:val="6"/>
  </w:num>
  <w:num w:numId="15">
    <w:abstractNumId w:val="9"/>
  </w:num>
  <w:num w:numId="16">
    <w:abstractNumId w:val="23"/>
  </w:num>
  <w:num w:numId="17">
    <w:abstractNumId w:val="18"/>
  </w:num>
  <w:num w:numId="18">
    <w:abstractNumId w:val="15"/>
  </w:num>
  <w:num w:numId="19">
    <w:abstractNumId w:val="7"/>
  </w:num>
  <w:num w:numId="20">
    <w:abstractNumId w:val="3"/>
  </w:num>
  <w:num w:numId="21">
    <w:abstractNumId w:val="19"/>
  </w:num>
  <w:num w:numId="22">
    <w:abstractNumId w:val="4"/>
  </w:num>
  <w:num w:numId="23">
    <w:abstractNumId w:val="22"/>
  </w:num>
  <w:num w:numId="24">
    <w:abstractNumId w:val="16"/>
  </w:num>
  <w:num w:numId="25">
    <w:abstractNumId w:val="5"/>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DE9"/>
    <w:rsid w:val="00020937"/>
    <w:rsid w:val="0002103F"/>
    <w:rsid w:val="00032D3F"/>
    <w:rsid w:val="00034AA4"/>
    <w:rsid w:val="000465DE"/>
    <w:rsid w:val="0004733E"/>
    <w:rsid w:val="00060509"/>
    <w:rsid w:val="00083740"/>
    <w:rsid w:val="000870CD"/>
    <w:rsid w:val="00094136"/>
    <w:rsid w:val="000956E3"/>
    <w:rsid w:val="000964AF"/>
    <w:rsid w:val="000A5557"/>
    <w:rsid w:val="000A6B1A"/>
    <w:rsid w:val="000C40BB"/>
    <w:rsid w:val="000E4441"/>
    <w:rsid w:val="000F10C2"/>
    <w:rsid w:val="000F14A6"/>
    <w:rsid w:val="001148A8"/>
    <w:rsid w:val="001228E7"/>
    <w:rsid w:val="00127AB1"/>
    <w:rsid w:val="00133C18"/>
    <w:rsid w:val="0013480A"/>
    <w:rsid w:val="0014316D"/>
    <w:rsid w:val="00146C6E"/>
    <w:rsid w:val="00170B14"/>
    <w:rsid w:val="001818D7"/>
    <w:rsid w:val="00185104"/>
    <w:rsid w:val="001962BE"/>
    <w:rsid w:val="00196689"/>
    <w:rsid w:val="00196935"/>
    <w:rsid w:val="0019746F"/>
    <w:rsid w:val="001B4B6C"/>
    <w:rsid w:val="001D0D34"/>
    <w:rsid w:val="001D35E3"/>
    <w:rsid w:val="001D70D4"/>
    <w:rsid w:val="001E54F8"/>
    <w:rsid w:val="001E6946"/>
    <w:rsid w:val="001E7D12"/>
    <w:rsid w:val="001F55CC"/>
    <w:rsid w:val="0020675F"/>
    <w:rsid w:val="0021178E"/>
    <w:rsid w:val="00215402"/>
    <w:rsid w:val="00220736"/>
    <w:rsid w:val="0022409B"/>
    <w:rsid w:val="0022417F"/>
    <w:rsid w:val="00230FE4"/>
    <w:rsid w:val="00233651"/>
    <w:rsid w:val="002512A5"/>
    <w:rsid w:val="00253B6D"/>
    <w:rsid w:val="00254020"/>
    <w:rsid w:val="0025452A"/>
    <w:rsid w:val="00270CDE"/>
    <w:rsid w:val="002842F0"/>
    <w:rsid w:val="00285997"/>
    <w:rsid w:val="002A39EE"/>
    <w:rsid w:val="002B0582"/>
    <w:rsid w:val="002B6CBD"/>
    <w:rsid w:val="002C6AAB"/>
    <w:rsid w:val="002C72A8"/>
    <w:rsid w:val="002D019A"/>
    <w:rsid w:val="002E48E7"/>
    <w:rsid w:val="002E5306"/>
    <w:rsid w:val="003140D6"/>
    <w:rsid w:val="003258AE"/>
    <w:rsid w:val="0033449B"/>
    <w:rsid w:val="00336E37"/>
    <w:rsid w:val="00341097"/>
    <w:rsid w:val="00341DB5"/>
    <w:rsid w:val="00342B0B"/>
    <w:rsid w:val="00350F22"/>
    <w:rsid w:val="00352501"/>
    <w:rsid w:val="003632B7"/>
    <w:rsid w:val="003765C1"/>
    <w:rsid w:val="003840CC"/>
    <w:rsid w:val="003B3682"/>
    <w:rsid w:val="003B5CEC"/>
    <w:rsid w:val="003D5C69"/>
    <w:rsid w:val="003D7BE7"/>
    <w:rsid w:val="003E13CF"/>
    <w:rsid w:val="003F3D44"/>
    <w:rsid w:val="00430771"/>
    <w:rsid w:val="004349BB"/>
    <w:rsid w:val="00441DEF"/>
    <w:rsid w:val="0044651D"/>
    <w:rsid w:val="00465C5B"/>
    <w:rsid w:val="004716BC"/>
    <w:rsid w:val="00472C6C"/>
    <w:rsid w:val="004769C7"/>
    <w:rsid w:val="00480C09"/>
    <w:rsid w:val="00482F81"/>
    <w:rsid w:val="00483808"/>
    <w:rsid w:val="004838A5"/>
    <w:rsid w:val="00491421"/>
    <w:rsid w:val="00493710"/>
    <w:rsid w:val="0049532A"/>
    <w:rsid w:val="00496108"/>
    <w:rsid w:val="00496BCF"/>
    <w:rsid w:val="00497AED"/>
    <w:rsid w:val="004B4F2F"/>
    <w:rsid w:val="004B5A03"/>
    <w:rsid w:val="004B7AC1"/>
    <w:rsid w:val="004E0B99"/>
    <w:rsid w:val="004E38F3"/>
    <w:rsid w:val="004F6394"/>
    <w:rsid w:val="004F7EB7"/>
    <w:rsid w:val="00503BC1"/>
    <w:rsid w:val="00505830"/>
    <w:rsid w:val="00507986"/>
    <w:rsid w:val="00507DC0"/>
    <w:rsid w:val="005103B8"/>
    <w:rsid w:val="00512EB1"/>
    <w:rsid w:val="00513E5A"/>
    <w:rsid w:val="005144C0"/>
    <w:rsid w:val="00535738"/>
    <w:rsid w:val="005423D4"/>
    <w:rsid w:val="005537B0"/>
    <w:rsid w:val="00556CBA"/>
    <w:rsid w:val="00561FBE"/>
    <w:rsid w:val="00566321"/>
    <w:rsid w:val="00571845"/>
    <w:rsid w:val="00571B94"/>
    <w:rsid w:val="005776FD"/>
    <w:rsid w:val="00583376"/>
    <w:rsid w:val="005B57F2"/>
    <w:rsid w:val="005C17DF"/>
    <w:rsid w:val="005C3607"/>
    <w:rsid w:val="005C378F"/>
    <w:rsid w:val="005D009F"/>
    <w:rsid w:val="005D5146"/>
    <w:rsid w:val="005D6347"/>
    <w:rsid w:val="005D7B81"/>
    <w:rsid w:val="005E117C"/>
    <w:rsid w:val="005E411E"/>
    <w:rsid w:val="005F051C"/>
    <w:rsid w:val="005F245F"/>
    <w:rsid w:val="00610875"/>
    <w:rsid w:val="00642C05"/>
    <w:rsid w:val="006474BB"/>
    <w:rsid w:val="00647557"/>
    <w:rsid w:val="006536F9"/>
    <w:rsid w:val="00661999"/>
    <w:rsid w:val="006664E9"/>
    <w:rsid w:val="00670DBE"/>
    <w:rsid w:val="00687B0E"/>
    <w:rsid w:val="006B00CB"/>
    <w:rsid w:val="006B32A7"/>
    <w:rsid w:val="006C74DF"/>
    <w:rsid w:val="006E05F4"/>
    <w:rsid w:val="006F4D70"/>
    <w:rsid w:val="007163E2"/>
    <w:rsid w:val="00720721"/>
    <w:rsid w:val="00742B98"/>
    <w:rsid w:val="00744250"/>
    <w:rsid w:val="00744B3A"/>
    <w:rsid w:val="00764CC1"/>
    <w:rsid w:val="007764CE"/>
    <w:rsid w:val="007764D1"/>
    <w:rsid w:val="007A0BCC"/>
    <w:rsid w:val="007B07AE"/>
    <w:rsid w:val="007B50D0"/>
    <w:rsid w:val="007D4801"/>
    <w:rsid w:val="007D6BE7"/>
    <w:rsid w:val="007F1F19"/>
    <w:rsid w:val="007F276B"/>
    <w:rsid w:val="00801610"/>
    <w:rsid w:val="008217B4"/>
    <w:rsid w:val="008316A3"/>
    <w:rsid w:val="00846558"/>
    <w:rsid w:val="00846743"/>
    <w:rsid w:val="00857C10"/>
    <w:rsid w:val="00861A0A"/>
    <w:rsid w:val="00870010"/>
    <w:rsid w:val="00875924"/>
    <w:rsid w:val="00877EC7"/>
    <w:rsid w:val="00896E94"/>
    <w:rsid w:val="008B0705"/>
    <w:rsid w:val="008C08F4"/>
    <w:rsid w:val="008C4590"/>
    <w:rsid w:val="008C6B3A"/>
    <w:rsid w:val="008C71B0"/>
    <w:rsid w:val="008D426D"/>
    <w:rsid w:val="009012B2"/>
    <w:rsid w:val="00902C9B"/>
    <w:rsid w:val="009135E0"/>
    <w:rsid w:val="00915CA4"/>
    <w:rsid w:val="0091674F"/>
    <w:rsid w:val="00950820"/>
    <w:rsid w:val="00952BEE"/>
    <w:rsid w:val="0095766E"/>
    <w:rsid w:val="00961071"/>
    <w:rsid w:val="009621CB"/>
    <w:rsid w:val="00963062"/>
    <w:rsid w:val="0096549F"/>
    <w:rsid w:val="00971D83"/>
    <w:rsid w:val="009735FA"/>
    <w:rsid w:val="009777B2"/>
    <w:rsid w:val="00977ECA"/>
    <w:rsid w:val="009807E9"/>
    <w:rsid w:val="00982180"/>
    <w:rsid w:val="00982E3F"/>
    <w:rsid w:val="009928B2"/>
    <w:rsid w:val="009A1963"/>
    <w:rsid w:val="009A7220"/>
    <w:rsid w:val="009A76A7"/>
    <w:rsid w:val="009A7F99"/>
    <w:rsid w:val="009C61B2"/>
    <w:rsid w:val="009D5928"/>
    <w:rsid w:val="009E46B2"/>
    <w:rsid w:val="009E6F29"/>
    <w:rsid w:val="00A06489"/>
    <w:rsid w:val="00A20F73"/>
    <w:rsid w:val="00A41969"/>
    <w:rsid w:val="00A51D2D"/>
    <w:rsid w:val="00A60413"/>
    <w:rsid w:val="00A82F2E"/>
    <w:rsid w:val="00A83658"/>
    <w:rsid w:val="00A85489"/>
    <w:rsid w:val="00A87B1F"/>
    <w:rsid w:val="00A90C37"/>
    <w:rsid w:val="00A956F8"/>
    <w:rsid w:val="00A975CF"/>
    <w:rsid w:val="00AA336E"/>
    <w:rsid w:val="00AA428E"/>
    <w:rsid w:val="00AC1EC7"/>
    <w:rsid w:val="00AC6579"/>
    <w:rsid w:val="00AD1AA6"/>
    <w:rsid w:val="00AE4F43"/>
    <w:rsid w:val="00AF1F2A"/>
    <w:rsid w:val="00AF30EF"/>
    <w:rsid w:val="00AF5490"/>
    <w:rsid w:val="00B04C3C"/>
    <w:rsid w:val="00B0730B"/>
    <w:rsid w:val="00B26BB1"/>
    <w:rsid w:val="00B32B38"/>
    <w:rsid w:val="00B435A8"/>
    <w:rsid w:val="00B4633B"/>
    <w:rsid w:val="00B75486"/>
    <w:rsid w:val="00B777AF"/>
    <w:rsid w:val="00B81789"/>
    <w:rsid w:val="00B9140A"/>
    <w:rsid w:val="00B92DF1"/>
    <w:rsid w:val="00BA21DD"/>
    <w:rsid w:val="00BA465F"/>
    <w:rsid w:val="00BC038B"/>
    <w:rsid w:val="00BC6C96"/>
    <w:rsid w:val="00BE6E20"/>
    <w:rsid w:val="00BF11F3"/>
    <w:rsid w:val="00BF22BA"/>
    <w:rsid w:val="00BF2DB4"/>
    <w:rsid w:val="00BF4150"/>
    <w:rsid w:val="00C01AA6"/>
    <w:rsid w:val="00C06257"/>
    <w:rsid w:val="00C079B0"/>
    <w:rsid w:val="00C10DF0"/>
    <w:rsid w:val="00C11367"/>
    <w:rsid w:val="00C14250"/>
    <w:rsid w:val="00C2297C"/>
    <w:rsid w:val="00C438CA"/>
    <w:rsid w:val="00C52C8C"/>
    <w:rsid w:val="00C608AF"/>
    <w:rsid w:val="00C64439"/>
    <w:rsid w:val="00C64BB4"/>
    <w:rsid w:val="00C66F40"/>
    <w:rsid w:val="00C71560"/>
    <w:rsid w:val="00C73CF5"/>
    <w:rsid w:val="00C75BD4"/>
    <w:rsid w:val="00C81965"/>
    <w:rsid w:val="00C92E77"/>
    <w:rsid w:val="00C96847"/>
    <w:rsid w:val="00CA1CF1"/>
    <w:rsid w:val="00CA53B9"/>
    <w:rsid w:val="00CA5C08"/>
    <w:rsid w:val="00CE00C5"/>
    <w:rsid w:val="00CE5069"/>
    <w:rsid w:val="00CF2624"/>
    <w:rsid w:val="00D3165C"/>
    <w:rsid w:val="00D36448"/>
    <w:rsid w:val="00D4642F"/>
    <w:rsid w:val="00D574CA"/>
    <w:rsid w:val="00D61ED8"/>
    <w:rsid w:val="00D71BC4"/>
    <w:rsid w:val="00D750F7"/>
    <w:rsid w:val="00D764EE"/>
    <w:rsid w:val="00D94272"/>
    <w:rsid w:val="00DB1DE9"/>
    <w:rsid w:val="00DB7073"/>
    <w:rsid w:val="00DC307B"/>
    <w:rsid w:val="00DD025A"/>
    <w:rsid w:val="00DD35FA"/>
    <w:rsid w:val="00DD6ADB"/>
    <w:rsid w:val="00DD7D7A"/>
    <w:rsid w:val="00DE18E2"/>
    <w:rsid w:val="00DF18A2"/>
    <w:rsid w:val="00DF712C"/>
    <w:rsid w:val="00DF73EA"/>
    <w:rsid w:val="00E03C0E"/>
    <w:rsid w:val="00E430C1"/>
    <w:rsid w:val="00E43F1B"/>
    <w:rsid w:val="00E45DC5"/>
    <w:rsid w:val="00E54798"/>
    <w:rsid w:val="00E66A64"/>
    <w:rsid w:val="00E7516C"/>
    <w:rsid w:val="00E80D2D"/>
    <w:rsid w:val="00E97C17"/>
    <w:rsid w:val="00EA3809"/>
    <w:rsid w:val="00EC5842"/>
    <w:rsid w:val="00ED0A0D"/>
    <w:rsid w:val="00F03DC0"/>
    <w:rsid w:val="00F2705D"/>
    <w:rsid w:val="00F3510A"/>
    <w:rsid w:val="00F37EA0"/>
    <w:rsid w:val="00F422E1"/>
    <w:rsid w:val="00F5269A"/>
    <w:rsid w:val="00F5353E"/>
    <w:rsid w:val="00F62A7A"/>
    <w:rsid w:val="00F67BBD"/>
    <w:rsid w:val="00F71F8E"/>
    <w:rsid w:val="00F74762"/>
    <w:rsid w:val="00F91367"/>
    <w:rsid w:val="00F948AD"/>
    <w:rsid w:val="00F95133"/>
    <w:rsid w:val="00F975F7"/>
    <w:rsid w:val="00FB0592"/>
    <w:rsid w:val="00FB139B"/>
    <w:rsid w:val="00FB2C6C"/>
    <w:rsid w:val="00FD36F2"/>
    <w:rsid w:val="00FD7B0A"/>
    <w:rsid w:val="00FE290A"/>
    <w:rsid w:val="00FE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57345"/>
    <o:shapelayout v:ext="edit">
      <o:idmap v:ext="edit" data="1"/>
    </o:shapelayout>
  </w:shapeDefaults>
  <w:decimalSymbol w:val="."/>
  <w:listSeparator w:val=","/>
  <w14:docId w14:val="1273AC20"/>
  <w15:docId w15:val="{6D9D86D4-381F-4E1E-91EB-DA38835BE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7220"/>
    <w:rPr>
      <w:sz w:val="24"/>
      <w:szCs w:val="24"/>
    </w:rPr>
  </w:style>
  <w:style w:type="paragraph" w:styleId="Heading1">
    <w:name w:val="heading 1"/>
    <w:basedOn w:val="Normal"/>
    <w:next w:val="Normal"/>
    <w:link w:val="Heading1Char"/>
    <w:uiPriority w:val="99"/>
    <w:qFormat/>
    <w:rsid w:val="009A7220"/>
    <w:pPr>
      <w:keepNext/>
      <w:outlineLvl w:val="0"/>
    </w:pPr>
    <w:rPr>
      <w:b/>
      <w:bCs/>
      <w:sz w:val="20"/>
      <w:szCs w:val="12"/>
    </w:rPr>
  </w:style>
  <w:style w:type="paragraph" w:styleId="Heading2">
    <w:name w:val="heading 2"/>
    <w:basedOn w:val="Normal"/>
    <w:next w:val="Normal"/>
    <w:link w:val="Heading2Char"/>
    <w:uiPriority w:val="99"/>
    <w:qFormat/>
    <w:rsid w:val="009A7220"/>
    <w:pPr>
      <w:keepNext/>
      <w:outlineLvl w:val="1"/>
    </w:pPr>
    <w:rPr>
      <w:b/>
      <w:bCs/>
      <w:u w:val="single"/>
    </w:rPr>
  </w:style>
  <w:style w:type="paragraph" w:styleId="Heading3">
    <w:name w:val="heading 3"/>
    <w:basedOn w:val="Normal"/>
    <w:next w:val="Normal"/>
    <w:link w:val="Heading3Char"/>
    <w:uiPriority w:val="99"/>
    <w:qFormat/>
    <w:rsid w:val="009A7220"/>
    <w:pPr>
      <w:keepNext/>
      <w:outlineLvl w:val="2"/>
    </w:pPr>
    <w:rPr>
      <w:b/>
      <w:bCs/>
    </w:rPr>
  </w:style>
  <w:style w:type="paragraph" w:styleId="Heading4">
    <w:name w:val="heading 4"/>
    <w:basedOn w:val="Normal"/>
    <w:next w:val="Normal"/>
    <w:link w:val="Heading4Char"/>
    <w:uiPriority w:val="99"/>
    <w:qFormat/>
    <w:rsid w:val="009A7220"/>
    <w:pPr>
      <w:keepNext/>
      <w:jc w:val="center"/>
      <w:outlineLvl w:val="3"/>
    </w:pPr>
    <w:rPr>
      <w:b/>
      <w:bCs/>
    </w:rPr>
  </w:style>
  <w:style w:type="paragraph" w:styleId="Heading5">
    <w:name w:val="heading 5"/>
    <w:basedOn w:val="Normal"/>
    <w:next w:val="Normal"/>
    <w:link w:val="Heading5Char"/>
    <w:uiPriority w:val="99"/>
    <w:qFormat/>
    <w:rsid w:val="009A7220"/>
    <w:pPr>
      <w:keepNext/>
      <w:outlineLvl w:val="4"/>
    </w:pPr>
    <w:rPr>
      <w:b/>
      <w:szCs w:val="20"/>
    </w:rPr>
  </w:style>
  <w:style w:type="paragraph" w:styleId="Heading6">
    <w:name w:val="heading 6"/>
    <w:basedOn w:val="Normal"/>
    <w:next w:val="Normal"/>
    <w:link w:val="Heading6Char"/>
    <w:uiPriority w:val="99"/>
    <w:qFormat/>
    <w:rsid w:val="009A7220"/>
    <w:pPr>
      <w:keepNext/>
      <w:tabs>
        <w:tab w:val="num" w:pos="0"/>
      </w:tabs>
      <w:jc w:val="center"/>
      <w:outlineLvl w:val="5"/>
    </w:pPr>
    <w:rPr>
      <w:b/>
      <w:szCs w:val="20"/>
    </w:rPr>
  </w:style>
  <w:style w:type="paragraph" w:styleId="Heading7">
    <w:name w:val="heading 7"/>
    <w:basedOn w:val="Normal"/>
    <w:next w:val="Normal"/>
    <w:link w:val="Heading7Char"/>
    <w:uiPriority w:val="99"/>
    <w:qFormat/>
    <w:rsid w:val="009A7220"/>
    <w:pPr>
      <w:keepNext/>
      <w:outlineLvl w:val="6"/>
    </w:pPr>
    <w:rPr>
      <w:rFonts w:ascii="Bookman Old Style" w:hAnsi="Bookman Old Style"/>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F14A6"/>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0F14A6"/>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0F14A6"/>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0F14A6"/>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0F14A6"/>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0F14A6"/>
    <w:rPr>
      <w:rFonts w:ascii="Calibri" w:hAnsi="Calibri" w:cs="Times New Roman"/>
      <w:b/>
      <w:bCs/>
    </w:rPr>
  </w:style>
  <w:style w:type="character" w:customStyle="1" w:styleId="Heading7Char">
    <w:name w:val="Heading 7 Char"/>
    <w:basedOn w:val="DefaultParagraphFont"/>
    <w:link w:val="Heading7"/>
    <w:uiPriority w:val="99"/>
    <w:semiHidden/>
    <w:locked/>
    <w:rsid w:val="000F14A6"/>
    <w:rPr>
      <w:rFonts w:ascii="Calibri" w:hAnsi="Calibri" w:cs="Times New Roman"/>
      <w:sz w:val="24"/>
      <w:szCs w:val="24"/>
    </w:rPr>
  </w:style>
  <w:style w:type="paragraph" w:styleId="Header">
    <w:name w:val="header"/>
    <w:basedOn w:val="Normal"/>
    <w:link w:val="HeaderChar"/>
    <w:uiPriority w:val="99"/>
    <w:rsid w:val="009A7220"/>
    <w:pPr>
      <w:tabs>
        <w:tab w:val="center" w:pos="4320"/>
        <w:tab w:val="right" w:pos="8640"/>
      </w:tabs>
    </w:pPr>
  </w:style>
  <w:style w:type="character" w:customStyle="1" w:styleId="HeaderChar">
    <w:name w:val="Header Char"/>
    <w:basedOn w:val="DefaultParagraphFont"/>
    <w:link w:val="Header"/>
    <w:uiPriority w:val="99"/>
    <w:semiHidden/>
    <w:locked/>
    <w:rsid w:val="000F14A6"/>
    <w:rPr>
      <w:rFonts w:cs="Times New Roman"/>
      <w:sz w:val="24"/>
      <w:szCs w:val="24"/>
    </w:rPr>
  </w:style>
  <w:style w:type="paragraph" w:styleId="Footer">
    <w:name w:val="footer"/>
    <w:basedOn w:val="Normal"/>
    <w:link w:val="FooterChar"/>
    <w:uiPriority w:val="99"/>
    <w:rsid w:val="009A7220"/>
    <w:pPr>
      <w:tabs>
        <w:tab w:val="center" w:pos="4320"/>
        <w:tab w:val="right" w:pos="8640"/>
      </w:tabs>
    </w:pPr>
  </w:style>
  <w:style w:type="character" w:customStyle="1" w:styleId="FooterChar">
    <w:name w:val="Footer Char"/>
    <w:basedOn w:val="DefaultParagraphFont"/>
    <w:link w:val="Footer"/>
    <w:uiPriority w:val="99"/>
    <w:locked/>
    <w:rsid w:val="00D574CA"/>
    <w:rPr>
      <w:rFonts w:cs="Times New Roman"/>
      <w:sz w:val="24"/>
    </w:rPr>
  </w:style>
  <w:style w:type="paragraph" w:styleId="Title">
    <w:name w:val="Title"/>
    <w:basedOn w:val="Normal"/>
    <w:link w:val="TitleChar"/>
    <w:uiPriority w:val="99"/>
    <w:qFormat/>
    <w:rsid w:val="009A7220"/>
    <w:pPr>
      <w:jc w:val="center"/>
    </w:pPr>
    <w:rPr>
      <w:b/>
      <w:bCs/>
      <w:szCs w:val="20"/>
    </w:rPr>
  </w:style>
  <w:style w:type="character" w:customStyle="1" w:styleId="TitleChar">
    <w:name w:val="Title Char"/>
    <w:basedOn w:val="DefaultParagraphFont"/>
    <w:link w:val="Title"/>
    <w:uiPriority w:val="99"/>
    <w:locked/>
    <w:rsid w:val="000F14A6"/>
    <w:rPr>
      <w:rFonts w:ascii="Cambria" w:hAnsi="Cambria" w:cs="Times New Roman"/>
      <w:b/>
      <w:bCs/>
      <w:kern w:val="28"/>
      <w:sz w:val="32"/>
      <w:szCs w:val="32"/>
    </w:rPr>
  </w:style>
  <w:style w:type="character" w:customStyle="1" w:styleId="EmailStyle20">
    <w:name w:val="EmailStyle20"/>
    <w:uiPriority w:val="99"/>
    <w:rsid w:val="009A7220"/>
    <w:rPr>
      <w:rFonts w:ascii="Arial" w:hAnsi="Arial"/>
      <w:color w:val="000000"/>
      <w:sz w:val="20"/>
    </w:rPr>
  </w:style>
  <w:style w:type="paragraph" w:styleId="NormalWeb">
    <w:name w:val="Normal (Web)"/>
    <w:basedOn w:val="Normal"/>
    <w:uiPriority w:val="99"/>
    <w:rsid w:val="009A7220"/>
    <w:pPr>
      <w:spacing w:before="100" w:beforeAutospacing="1" w:after="100" w:afterAutospacing="1"/>
    </w:pPr>
    <w:rPr>
      <w:rFonts w:ascii="Arial Unicode MS" w:hAnsi="Arial Unicode MS" w:cs="Arial Unicode MS"/>
    </w:rPr>
  </w:style>
  <w:style w:type="character" w:styleId="Strong">
    <w:name w:val="Strong"/>
    <w:basedOn w:val="DefaultParagraphFont"/>
    <w:uiPriority w:val="99"/>
    <w:qFormat/>
    <w:rsid w:val="009A7220"/>
    <w:rPr>
      <w:rFonts w:cs="Times New Roman"/>
      <w:b/>
    </w:rPr>
  </w:style>
  <w:style w:type="character" w:styleId="Hyperlink">
    <w:name w:val="Hyperlink"/>
    <w:basedOn w:val="DefaultParagraphFont"/>
    <w:uiPriority w:val="99"/>
    <w:rsid w:val="004E0B99"/>
    <w:rPr>
      <w:rFonts w:cs="Times New Roman"/>
      <w:color w:val="0000FF"/>
      <w:u w:val="single"/>
    </w:rPr>
  </w:style>
  <w:style w:type="character" w:styleId="FollowedHyperlink">
    <w:name w:val="FollowedHyperlink"/>
    <w:basedOn w:val="DefaultParagraphFont"/>
    <w:uiPriority w:val="99"/>
    <w:rsid w:val="00AF1F2A"/>
    <w:rPr>
      <w:rFonts w:cs="Times New Roman"/>
      <w:color w:val="800080"/>
      <w:u w:val="single"/>
    </w:rPr>
  </w:style>
  <w:style w:type="paragraph" w:styleId="BalloonText">
    <w:name w:val="Balloon Text"/>
    <w:basedOn w:val="Normal"/>
    <w:link w:val="BalloonTextChar"/>
    <w:uiPriority w:val="99"/>
    <w:semiHidden/>
    <w:rsid w:val="00A87B1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F14A6"/>
    <w:rPr>
      <w:rFonts w:cs="Times New Roman"/>
      <w:sz w:val="2"/>
    </w:rPr>
  </w:style>
  <w:style w:type="table" w:styleId="TableTheme">
    <w:name w:val="Table Theme"/>
    <w:basedOn w:val="TableNormal"/>
    <w:uiPriority w:val="99"/>
    <w:rsid w:val="00D3644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icyMainHead">
    <w:name w:val="Policy Main Head"/>
    <w:basedOn w:val="Normal"/>
    <w:uiPriority w:val="99"/>
    <w:rsid w:val="00D574CA"/>
    <w:pPr>
      <w:widowControl w:val="0"/>
      <w:spacing w:after="200" w:line="276" w:lineRule="auto"/>
    </w:pPr>
    <w:rPr>
      <w:rFonts w:ascii="Arial Narrow" w:hAnsi="Arial Narrow"/>
      <w:noProof/>
      <w:color w:val="11406B"/>
      <w:sz w:val="48"/>
      <w:szCs w:val="48"/>
    </w:rPr>
  </w:style>
  <w:style w:type="table" w:styleId="LightList-Accent1">
    <w:name w:val="Light List Accent 1"/>
    <w:basedOn w:val="TableNormal"/>
    <w:uiPriority w:val="99"/>
    <w:rsid w:val="005423D4"/>
    <w:rPr>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styleId="TableGrid">
    <w:name w:val="Table Grid"/>
    <w:basedOn w:val="TableNormal"/>
    <w:uiPriority w:val="99"/>
    <w:rsid w:val="00B777A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3F3D44"/>
    <w:rPr>
      <w:rFonts w:cs="Times New Roman"/>
      <w:sz w:val="16"/>
      <w:szCs w:val="16"/>
    </w:rPr>
  </w:style>
  <w:style w:type="paragraph" w:styleId="CommentText">
    <w:name w:val="annotation text"/>
    <w:basedOn w:val="Normal"/>
    <w:link w:val="CommentTextChar"/>
    <w:uiPriority w:val="99"/>
    <w:rsid w:val="003F3D44"/>
    <w:rPr>
      <w:sz w:val="20"/>
      <w:szCs w:val="20"/>
    </w:rPr>
  </w:style>
  <w:style w:type="character" w:customStyle="1" w:styleId="CommentTextChar">
    <w:name w:val="Comment Text Char"/>
    <w:basedOn w:val="DefaultParagraphFont"/>
    <w:link w:val="CommentText"/>
    <w:uiPriority w:val="99"/>
    <w:locked/>
    <w:rsid w:val="003F3D44"/>
    <w:rPr>
      <w:rFonts w:cs="Times New Roman"/>
    </w:rPr>
  </w:style>
  <w:style w:type="paragraph" w:styleId="CommentSubject">
    <w:name w:val="annotation subject"/>
    <w:basedOn w:val="CommentText"/>
    <w:next w:val="CommentText"/>
    <w:link w:val="CommentSubjectChar"/>
    <w:uiPriority w:val="99"/>
    <w:rsid w:val="003F3D44"/>
    <w:rPr>
      <w:b/>
      <w:bCs/>
    </w:rPr>
  </w:style>
  <w:style w:type="character" w:customStyle="1" w:styleId="CommentSubjectChar">
    <w:name w:val="Comment Subject Char"/>
    <w:basedOn w:val="CommentTextChar"/>
    <w:link w:val="CommentSubject"/>
    <w:uiPriority w:val="99"/>
    <w:locked/>
    <w:rsid w:val="003F3D44"/>
    <w:rPr>
      <w:rFonts w:cs="Times New Roman"/>
      <w:b/>
      <w:bCs/>
    </w:rPr>
  </w:style>
  <w:style w:type="paragraph" w:styleId="ListParagraph">
    <w:name w:val="List Paragraph"/>
    <w:basedOn w:val="Normal"/>
    <w:uiPriority w:val="99"/>
    <w:qFormat/>
    <w:rsid w:val="007163E2"/>
    <w:pPr>
      <w:ind w:left="720"/>
      <w:contextualSpacing/>
    </w:pPr>
  </w:style>
  <w:style w:type="character" w:styleId="PageNumber">
    <w:name w:val="page number"/>
    <w:basedOn w:val="DefaultParagraphFont"/>
    <w:uiPriority w:val="99"/>
    <w:locked/>
    <w:rsid w:val="00034AA4"/>
    <w:rPr>
      <w:rFonts w:cs="Times New Roman"/>
    </w:rPr>
  </w:style>
  <w:style w:type="paragraph" w:styleId="Revision">
    <w:name w:val="Revision"/>
    <w:hidden/>
    <w:uiPriority w:val="99"/>
    <w:semiHidden/>
    <w:rsid w:val="00DD35F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427477">
      <w:marLeft w:val="0"/>
      <w:marRight w:val="0"/>
      <w:marTop w:val="0"/>
      <w:marBottom w:val="0"/>
      <w:divBdr>
        <w:top w:val="none" w:sz="0" w:space="0" w:color="auto"/>
        <w:left w:val="none" w:sz="0" w:space="0" w:color="auto"/>
        <w:bottom w:val="none" w:sz="0" w:space="0" w:color="auto"/>
        <w:right w:val="none" w:sz="0" w:space="0" w:color="auto"/>
      </w:divBdr>
    </w:div>
    <w:div w:id="818427479">
      <w:marLeft w:val="0"/>
      <w:marRight w:val="0"/>
      <w:marTop w:val="0"/>
      <w:marBottom w:val="0"/>
      <w:divBdr>
        <w:top w:val="none" w:sz="0" w:space="0" w:color="auto"/>
        <w:left w:val="none" w:sz="0" w:space="0" w:color="auto"/>
        <w:bottom w:val="none" w:sz="0" w:space="0" w:color="auto"/>
        <w:right w:val="none" w:sz="0" w:space="0" w:color="auto"/>
      </w:divBdr>
      <w:divsChild>
        <w:div w:id="818427478">
          <w:marLeft w:val="0"/>
          <w:marRight w:val="0"/>
          <w:marTop w:val="0"/>
          <w:marBottom w:val="0"/>
          <w:divBdr>
            <w:top w:val="none" w:sz="0" w:space="0" w:color="auto"/>
            <w:left w:val="none" w:sz="0" w:space="0" w:color="auto"/>
            <w:bottom w:val="none" w:sz="0" w:space="0" w:color="auto"/>
            <w:right w:val="none" w:sz="0" w:space="0" w:color="auto"/>
          </w:divBdr>
        </w:div>
        <w:div w:id="818427481">
          <w:marLeft w:val="0"/>
          <w:marRight w:val="0"/>
          <w:marTop w:val="0"/>
          <w:marBottom w:val="0"/>
          <w:divBdr>
            <w:top w:val="none" w:sz="0" w:space="0" w:color="auto"/>
            <w:left w:val="none" w:sz="0" w:space="0" w:color="auto"/>
            <w:bottom w:val="none" w:sz="0" w:space="0" w:color="auto"/>
            <w:right w:val="none" w:sz="0" w:space="0" w:color="auto"/>
          </w:divBdr>
        </w:div>
      </w:divsChild>
    </w:div>
    <w:div w:id="8184274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yperlink" Target="http://www.cms.gov" TargetMode="External"/><Relationship Id="rId2" Type="http://schemas.openxmlformats.org/officeDocument/2006/relationships/customXml" Target="../customXml/item2.xml"/><Relationship Id="rId16" Type="http://schemas.openxmlformats.org/officeDocument/2006/relationships/hyperlink" Target="https://ascopubs.org/doi/pdf/10.1200/JCO.2018.78.1914"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jco.ascopubs.org/content/early/2013/05/24/JCO.2013.49.2678.full.pdf"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422BBF-F0A1-4B72-A7C6-4A10F02ABF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2A2F392-B0C7-438F-9356-B595DC8AE353}">
  <ds:schemaRefs>
    <ds:schemaRef ds:uri="http://schemas.microsoft.com/sharepoint/v3/contenttype/forms"/>
  </ds:schemaRefs>
</ds:datastoreItem>
</file>

<file path=customXml/itemProps3.xml><?xml version="1.0" encoding="utf-8"?>
<ds:datastoreItem xmlns:ds="http://schemas.openxmlformats.org/officeDocument/2006/customXml" ds:itemID="{CA6006B1-D2FB-4729-9BF8-449912A6F522}">
  <ds:schemaRefs>
    <ds:schemaRef ds:uri="http://purl.org/dc/terms/"/>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http://purl.org/dc/elements/1.1/"/>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2850</Words>
  <Characters>18505</Characters>
  <Application>Microsoft Office Word</Application>
  <DocSecurity>0</DocSecurity>
  <Lines>154</Lines>
  <Paragraphs>42</Paragraphs>
  <ScaleCrop>false</ScaleCrop>
  <HeadingPairs>
    <vt:vector size="2" baseType="variant">
      <vt:variant>
        <vt:lpstr>Title</vt:lpstr>
      </vt:variant>
      <vt:variant>
        <vt:i4>1</vt:i4>
      </vt:variant>
    </vt:vector>
  </HeadingPairs>
  <TitlesOfParts>
    <vt:vector size="1" baseType="lpstr">
      <vt:lpstr>Subject:</vt:lpstr>
    </vt:vector>
  </TitlesOfParts>
  <Company>CENTENE CORPORATION</Company>
  <LinksUpToDate>false</LinksUpToDate>
  <CharactersWithSpaces>21313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Centene User</dc:creator>
  <cp:keywords/>
  <dc:description/>
  <cp:lastModifiedBy>Marianne E. Santoro</cp:lastModifiedBy>
  <cp:revision>2</cp:revision>
  <cp:lastPrinted>2019-08-28T13:48:00Z</cp:lastPrinted>
  <dcterms:created xsi:type="dcterms:W3CDTF">2019-09-30T16:48:00Z</dcterms:created>
  <dcterms:modified xsi:type="dcterms:W3CDTF">2019-09-30T16:48:00Z</dcterms:modified>
</cp:coreProperties>
</file>