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F25DE" w14:textId="4447771C"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w:t>
      </w:r>
      <w:r w:rsidRPr="005D7B81">
        <w:rPr>
          <w:rFonts w:ascii="Times New Roman" w:hAnsi="Times New Roman"/>
          <w:color w:val="00548C"/>
          <w:sz w:val="36"/>
        </w:rPr>
        <w:t xml:space="preserve">al </w:t>
      </w:r>
      <w:r>
        <w:rPr>
          <w:rFonts w:ascii="Times New Roman" w:hAnsi="Times New Roman"/>
          <w:color w:val="00548C"/>
          <w:sz w:val="36"/>
        </w:rPr>
        <w:t xml:space="preserve">Policy: </w:t>
      </w:r>
      <w:r w:rsidR="008B79DD">
        <w:rPr>
          <w:rFonts w:ascii="Times New Roman" w:hAnsi="Times New Roman"/>
          <w:color w:val="00548C"/>
          <w:sz w:val="36"/>
        </w:rPr>
        <w:t>Sclerotherapy for Varicose Veins</w:t>
      </w:r>
    </w:p>
    <w:p w14:paraId="6D1C8226" w14:textId="77777777" w:rsidR="00B777AF" w:rsidRDefault="00B777AF" w:rsidP="00D574CA">
      <w:pPr>
        <w:pStyle w:val="PolicyMainHead"/>
        <w:tabs>
          <w:tab w:val="left" w:pos="360"/>
        </w:tabs>
        <w:spacing w:after="0" w:line="240" w:lineRule="auto"/>
        <w:rPr>
          <w:color w:val="00548C"/>
          <w:sz w:val="24"/>
        </w:rPr>
        <w:sectPr w:rsidR="00B777AF" w:rsidSect="00B777AF">
          <w:headerReference w:type="default" r:id="rId11"/>
          <w:footerReference w:type="default" r:id="rId12"/>
          <w:headerReference w:type="first" r:id="rId13"/>
          <w:footerReference w:type="first" r:id="rId14"/>
          <w:pgSz w:w="12240" w:h="15840" w:code="1"/>
          <w:pgMar w:top="1440" w:right="907" w:bottom="1152" w:left="1440" w:header="576" w:footer="288" w:gutter="0"/>
          <w:cols w:space="720"/>
          <w:titlePg/>
          <w:docGrid w:linePitch="360"/>
        </w:sectPr>
      </w:pPr>
    </w:p>
    <w:p w14:paraId="1CCCED07" w14:textId="0180D02C" w:rsidR="00480C09" w:rsidRPr="003D7BE7" w:rsidRDefault="00D574CA" w:rsidP="00FB7D8E">
      <w:pPr>
        <w:pStyle w:val="PolicyMainHead"/>
        <w:tabs>
          <w:tab w:val="left" w:pos="360"/>
        </w:tabs>
        <w:spacing w:after="0" w:line="240" w:lineRule="auto"/>
        <w:rPr>
          <w:rFonts w:ascii="Times New Roman" w:hAnsi="Times New Roman"/>
          <w:color w:val="00548C"/>
          <w:sz w:val="24"/>
          <w:szCs w:val="24"/>
        </w:rPr>
        <w:sectPr w:rsidR="00480C09"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D5265C">
        <w:rPr>
          <w:rFonts w:ascii="Times New Roman" w:hAnsi="Times New Roman"/>
          <w:color w:val="00548C"/>
          <w:sz w:val="24"/>
          <w:szCs w:val="24"/>
        </w:rPr>
        <w:t>146</w:t>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8729E0">
        <w:rPr>
          <w:rFonts w:ascii="Times New Roman" w:hAnsi="Times New Roman"/>
          <w:color w:val="00548C"/>
          <w:sz w:val="24"/>
          <w:szCs w:val="24"/>
        </w:rPr>
        <w:t xml:space="preserve">   </w:t>
      </w:r>
      <w:r w:rsidR="00480C09" w:rsidRPr="003D7BE7">
        <w:rPr>
          <w:rFonts w:ascii="Times New Roman" w:hAnsi="Times New Roman"/>
          <w:color w:val="00548C"/>
          <w:sz w:val="24"/>
          <w:szCs w:val="24"/>
        </w:rPr>
        <w:tab/>
      </w:r>
      <w:r w:rsidR="008729E0">
        <w:rPr>
          <w:rFonts w:ascii="Times New Roman" w:hAnsi="Times New Roman"/>
          <w:color w:val="00548C"/>
          <w:sz w:val="24"/>
          <w:szCs w:val="24"/>
        </w:rPr>
        <w:t xml:space="preserve">     </w:t>
      </w:r>
      <w:hyperlink w:anchor="Coding_Implications" w:history="1">
        <w:r w:rsidR="007B50D0" w:rsidRPr="00875924">
          <w:rPr>
            <w:rStyle w:val="Hyperlink"/>
            <w:rFonts w:ascii="Times New Roman" w:hAnsi="Times New Roman"/>
            <w:sz w:val="24"/>
            <w:szCs w:val="24"/>
          </w:rPr>
          <w:t>Coding Implications</w:t>
        </w:r>
      </w:hyperlink>
      <w:r w:rsidR="007B50D0" w:rsidRPr="003D7BE7">
        <w:rPr>
          <w:rFonts w:ascii="Times New Roman" w:hAnsi="Times New Roman"/>
          <w:color w:val="00548C"/>
          <w:sz w:val="24"/>
          <w:szCs w:val="24"/>
        </w:rPr>
        <w:t xml:space="preserve"> </w:t>
      </w:r>
    </w:p>
    <w:p w14:paraId="7CADDEEF" w14:textId="6CCC39F5" w:rsidR="00875924" w:rsidRDefault="00D574CA" w:rsidP="00D574CA">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FF24BB">
        <w:rPr>
          <w:rFonts w:ascii="Times New Roman" w:hAnsi="Times New Roman"/>
          <w:color w:val="00548C"/>
          <w:sz w:val="24"/>
          <w:szCs w:val="24"/>
        </w:rPr>
        <w:t>0</w:t>
      </w:r>
      <w:r w:rsidR="00BF5493">
        <w:rPr>
          <w:rFonts w:ascii="Times New Roman" w:hAnsi="Times New Roman"/>
          <w:color w:val="00548C"/>
          <w:sz w:val="24"/>
          <w:szCs w:val="24"/>
        </w:rPr>
        <w:t>4</w:t>
      </w:r>
      <w:r w:rsidR="00FF24BB">
        <w:rPr>
          <w:rFonts w:ascii="Times New Roman" w:hAnsi="Times New Roman"/>
          <w:color w:val="00548C"/>
          <w:sz w:val="24"/>
          <w:szCs w:val="24"/>
        </w:rPr>
        <w:t>/19</w:t>
      </w:r>
    </w:p>
    <w:p w14:paraId="354E7C46" w14:textId="77777777" w:rsidR="00875924" w:rsidRDefault="007B6D0D"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875924">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1F02503D" w14:textId="77777777" w:rsidR="005D7B81" w:rsidRDefault="00032D3F"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14:paraId="36CD0097"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719C5ED2" w14:textId="77777777" w:rsidR="00C73CF5" w:rsidRDefault="00C73CF5" w:rsidP="00875924">
      <w:pPr>
        <w:pStyle w:val="NormalWeb"/>
        <w:spacing w:before="0" w:beforeAutospacing="0" w:after="0" w:afterAutospacing="0"/>
        <w:jc w:val="center"/>
        <w:rPr>
          <w:rStyle w:val="Strong"/>
          <w:rFonts w:ascii="Times New Roman" w:hAnsi="Times New Roman" w:cs="Times New Roman"/>
          <w:b w:val="0"/>
          <w:bCs w:val="0"/>
          <w:u w:val="single"/>
        </w:rPr>
      </w:pPr>
    </w:p>
    <w:p w14:paraId="16EE8073" w14:textId="77777777" w:rsidR="00583376" w:rsidRPr="00B777AF" w:rsidRDefault="00583376">
      <w:pPr>
        <w:pStyle w:val="Heading2"/>
        <w:rPr>
          <w:u w:val="none"/>
        </w:rPr>
      </w:pPr>
      <w:r w:rsidRPr="00B777AF">
        <w:rPr>
          <w:u w:val="none"/>
        </w:rPr>
        <w:t xml:space="preserve">Description </w:t>
      </w:r>
    </w:p>
    <w:p w14:paraId="529A6D4B" w14:textId="3EE8F6FA" w:rsidR="00391332" w:rsidRPr="0051557B" w:rsidRDefault="008B79DD" w:rsidP="00391332">
      <w:pPr>
        <w:autoSpaceDE w:val="0"/>
        <w:autoSpaceDN w:val="0"/>
        <w:adjustRightInd w:val="0"/>
        <w:snapToGrid w:val="0"/>
      </w:pPr>
      <w:r>
        <w:t xml:space="preserve">Sclerotherapy is a </w:t>
      </w:r>
      <w:r w:rsidR="0003571C">
        <w:t>minimally invasive procedure to diminish abnormally dilated</w:t>
      </w:r>
      <w:r w:rsidR="00A36297">
        <w:t xml:space="preserve"> and symptomatic</w:t>
      </w:r>
      <w:r w:rsidR="00D75E0F">
        <w:t xml:space="preserve"> veins.</w:t>
      </w:r>
      <w:r w:rsidR="0003571C">
        <w:t xml:space="preserve"> </w:t>
      </w:r>
      <w:r w:rsidR="00A36297">
        <w:t>In this procedure, liquid</w:t>
      </w:r>
      <w:r w:rsidR="003A4ED1">
        <w:t>,</w:t>
      </w:r>
      <w:r w:rsidR="00A36297">
        <w:t xml:space="preserve"> foam</w:t>
      </w:r>
      <w:r w:rsidR="003A4ED1">
        <w:t>, or glue</w:t>
      </w:r>
      <w:r w:rsidR="00A36297">
        <w:t xml:space="preserve"> irritants are injected into unwanted veins, causing their eventual </w:t>
      </w:r>
      <w:r w:rsidR="00081C01">
        <w:t>reduction</w:t>
      </w:r>
      <w:r w:rsidR="00D75E0F">
        <w:t>.</w:t>
      </w:r>
      <w:r w:rsidR="00A36297">
        <w:t xml:space="preserve"> </w:t>
      </w:r>
      <w:r w:rsidR="00391332" w:rsidRPr="0051557B">
        <w:t xml:space="preserve">This policy describes the medical necessity requirements for </w:t>
      </w:r>
      <w:r w:rsidR="00391332">
        <w:t>sclerotherapy</w:t>
      </w:r>
      <w:r w:rsidR="00391332" w:rsidRPr="0051557B">
        <w:t xml:space="preserve">. </w:t>
      </w:r>
    </w:p>
    <w:p w14:paraId="7BEDE563" w14:textId="77777777" w:rsidR="005D7B81" w:rsidRPr="00B777AF" w:rsidRDefault="005D7B81" w:rsidP="00196935"/>
    <w:p w14:paraId="7085F688" w14:textId="77777777" w:rsidR="00583376" w:rsidRPr="00B777AF" w:rsidRDefault="00583376">
      <w:pPr>
        <w:pStyle w:val="Heading2"/>
        <w:rPr>
          <w:u w:val="none"/>
        </w:rPr>
      </w:pPr>
      <w:r w:rsidRPr="00B777AF">
        <w:rPr>
          <w:u w:val="none"/>
        </w:rPr>
        <w:t>Policy/Criteria</w:t>
      </w:r>
    </w:p>
    <w:p w14:paraId="5E4FAB14" w14:textId="659D4F1F" w:rsidR="00C96847" w:rsidRDefault="00F74762" w:rsidP="00C96847">
      <w:pPr>
        <w:numPr>
          <w:ilvl w:val="0"/>
          <w:numId w:val="11"/>
        </w:numPr>
        <w:ind w:left="360"/>
      </w:pPr>
      <w:r>
        <w:rPr>
          <w:bCs/>
          <w:color w:val="000000"/>
        </w:rPr>
        <w:t>It is the policy of</w:t>
      </w:r>
      <w:r w:rsidR="00E97C17">
        <w:rPr>
          <w:bCs/>
          <w:color w:val="000000"/>
        </w:rPr>
        <w:t xml:space="preserv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1703C9">
        <w:t>sclerotherapy</w:t>
      </w:r>
      <w:r w:rsidR="00513BE3">
        <w:t xml:space="preserve"> using liquid or foam irritants</w:t>
      </w:r>
      <w:r w:rsidR="00C96847">
        <w:t xml:space="preserve"> is </w:t>
      </w:r>
      <w:r w:rsidR="00C96847" w:rsidRPr="005D6347">
        <w:rPr>
          <w:b/>
        </w:rPr>
        <w:t>medically necessary</w:t>
      </w:r>
      <w:r w:rsidR="00C96847">
        <w:t xml:space="preserve"> </w:t>
      </w:r>
      <w:r w:rsidR="009D5928">
        <w:t>for the following indications</w:t>
      </w:r>
      <w:r w:rsidR="00C96847">
        <w:t>:</w:t>
      </w:r>
    </w:p>
    <w:p w14:paraId="3162F8DB" w14:textId="3C7F150E" w:rsidR="003F3D44" w:rsidRDefault="001703C9" w:rsidP="003F3D44">
      <w:pPr>
        <w:numPr>
          <w:ilvl w:val="1"/>
          <w:numId w:val="11"/>
        </w:numPr>
        <w:ind w:left="720"/>
      </w:pPr>
      <w:r>
        <w:t>Symptomatic varicose veins, including all of the following criteria:</w:t>
      </w:r>
    </w:p>
    <w:p w14:paraId="1F9A6BFB" w14:textId="4A72E987" w:rsidR="003F3D44" w:rsidRDefault="00D75E0F" w:rsidP="00CB0A91">
      <w:pPr>
        <w:numPr>
          <w:ilvl w:val="2"/>
          <w:numId w:val="11"/>
        </w:numPr>
        <w:ind w:left="1080" w:hanging="360"/>
      </w:pPr>
      <w:r>
        <w:t>Ultrasound-</w:t>
      </w:r>
      <w:r w:rsidR="00CB0A91">
        <w:t>documented s</w:t>
      </w:r>
      <w:r w:rsidR="00F17E6E">
        <w:t>aphenous varicosities</w:t>
      </w:r>
      <w:r w:rsidR="00CB0A91">
        <w:t xml:space="preserve"> at the saphenofemoral junction or saphenop</w:t>
      </w:r>
      <w:r w:rsidR="00D5265C">
        <w:t>opliteal junction, including both</w:t>
      </w:r>
      <w:r w:rsidR="00CB0A91">
        <w:t xml:space="preserve"> of the following:</w:t>
      </w:r>
    </w:p>
    <w:p w14:paraId="79EFDF35" w14:textId="40340807" w:rsidR="00CB0A91" w:rsidRDefault="00CB0A91" w:rsidP="00CB0A91">
      <w:pPr>
        <w:numPr>
          <w:ilvl w:val="3"/>
          <w:numId w:val="11"/>
        </w:numPr>
        <w:ind w:left="1440"/>
      </w:pPr>
      <w:r>
        <w:t>Junctional reflux ≥</w:t>
      </w:r>
      <w:r w:rsidR="00D5265C">
        <w:t xml:space="preserve"> </w:t>
      </w:r>
      <w:r>
        <w:t>500 milliseconds</w:t>
      </w:r>
      <w:r w:rsidR="00D5265C">
        <w:t>;</w:t>
      </w:r>
    </w:p>
    <w:p w14:paraId="2CB2747A" w14:textId="2724BCDA" w:rsidR="00CB0A91" w:rsidRDefault="00CB0A91" w:rsidP="00CB0A91">
      <w:pPr>
        <w:numPr>
          <w:ilvl w:val="3"/>
          <w:numId w:val="11"/>
        </w:numPr>
        <w:ind w:left="1440"/>
      </w:pPr>
      <w:r>
        <w:t xml:space="preserve">Vein size ≥ </w:t>
      </w:r>
      <w:r w:rsidR="00BA3C59">
        <w:t>2.5</w:t>
      </w:r>
      <w:r>
        <w:t xml:space="preserve"> mm</w:t>
      </w:r>
      <w:r w:rsidR="00D5265C">
        <w:t>;</w:t>
      </w:r>
    </w:p>
    <w:p w14:paraId="0F735225" w14:textId="309FF894" w:rsidR="00CB0A91" w:rsidRDefault="00325062" w:rsidP="00CB0A91">
      <w:pPr>
        <w:numPr>
          <w:ilvl w:val="2"/>
          <w:numId w:val="11"/>
        </w:numPr>
        <w:ind w:left="1080" w:hanging="360"/>
      </w:pPr>
      <w:r>
        <w:t xml:space="preserve">Complications attributed to </w:t>
      </w:r>
      <w:r w:rsidR="00465298">
        <w:t>the varicosities, including any of the following:</w:t>
      </w:r>
    </w:p>
    <w:p w14:paraId="6E7DABFC" w14:textId="476DB589" w:rsidR="00465298" w:rsidRDefault="00D9234D" w:rsidP="00465298">
      <w:pPr>
        <w:numPr>
          <w:ilvl w:val="3"/>
          <w:numId w:val="11"/>
        </w:numPr>
        <w:ind w:left="1440"/>
      </w:pPr>
      <w:r>
        <w:t>Intractable ulceration</w:t>
      </w:r>
      <w:r w:rsidR="00D5265C">
        <w:t>;</w:t>
      </w:r>
    </w:p>
    <w:p w14:paraId="6D7CF86F" w14:textId="56DA2767" w:rsidR="00D9234D" w:rsidRDefault="00D9234D" w:rsidP="00465298">
      <w:pPr>
        <w:numPr>
          <w:ilvl w:val="3"/>
          <w:numId w:val="11"/>
        </w:numPr>
        <w:ind w:left="1440"/>
      </w:pPr>
      <w:r>
        <w:t>Hemorrhage or recurrent bleeding episodes from a ruptured varicosity</w:t>
      </w:r>
      <w:r w:rsidR="00D5265C">
        <w:t>;</w:t>
      </w:r>
    </w:p>
    <w:p w14:paraId="7C685160" w14:textId="0A268412" w:rsidR="00D9234D" w:rsidRDefault="00D9234D" w:rsidP="00D9234D">
      <w:pPr>
        <w:numPr>
          <w:ilvl w:val="3"/>
          <w:numId w:val="11"/>
        </w:numPr>
        <w:ind w:left="1440"/>
      </w:pPr>
      <w:r>
        <w:t>Recurrent superficial thrombophlebitis</w:t>
      </w:r>
      <w:r w:rsidR="00D5265C">
        <w:t>;</w:t>
      </w:r>
    </w:p>
    <w:p w14:paraId="3FA9EBEE" w14:textId="0675AE59" w:rsidR="00D9234D" w:rsidRDefault="00D9234D" w:rsidP="00D9234D">
      <w:pPr>
        <w:numPr>
          <w:ilvl w:val="3"/>
          <w:numId w:val="11"/>
        </w:numPr>
        <w:ind w:left="1440"/>
      </w:pPr>
      <w:r w:rsidRPr="00D9234D">
        <w:t>Severe a</w:t>
      </w:r>
      <w:r w:rsidR="00641C46">
        <w:t xml:space="preserve">nd persistent </w:t>
      </w:r>
      <w:r w:rsidR="00D5265C">
        <w:t>pain and swelling, including both</w:t>
      </w:r>
      <w:r w:rsidR="00641C46">
        <w:t xml:space="preserve"> of the following:</w:t>
      </w:r>
    </w:p>
    <w:p w14:paraId="4E741BDF" w14:textId="5E13FF3F" w:rsidR="00237536" w:rsidRDefault="00641C46" w:rsidP="00237536">
      <w:pPr>
        <w:numPr>
          <w:ilvl w:val="4"/>
          <w:numId w:val="11"/>
        </w:numPr>
        <w:ind w:left="1800"/>
      </w:pPr>
      <w:r>
        <w:t>Duration ≥ 6 months</w:t>
      </w:r>
      <w:r w:rsidR="00D5265C">
        <w:t>;</w:t>
      </w:r>
    </w:p>
    <w:p w14:paraId="0C3E0B8B" w14:textId="6EE37564" w:rsidR="00641C46" w:rsidRDefault="00D5265C" w:rsidP="00237536">
      <w:pPr>
        <w:numPr>
          <w:ilvl w:val="4"/>
          <w:numId w:val="11"/>
        </w:numPr>
        <w:ind w:left="1800"/>
      </w:pPr>
      <w:r>
        <w:t xml:space="preserve">Failure of </w:t>
      </w:r>
      <w:r w:rsidR="00D846E2">
        <w:t xml:space="preserve">≥ </w:t>
      </w:r>
      <w:r w:rsidR="00081F1D">
        <w:t>3 months of conservative treatment including c</w:t>
      </w:r>
      <w:r w:rsidR="000F3DFD">
        <w:t>ompression therapy</w:t>
      </w:r>
      <w:r w:rsidR="00084D10">
        <w:t>, unless contraindicated</w:t>
      </w:r>
      <w:r w:rsidR="00126BD0">
        <w:t xml:space="preserve"> (i.e., </w:t>
      </w:r>
      <w:r w:rsidR="00FF0D2A">
        <w:t>suspected or proven peripheral arterial disease, severe peripheral neuropathy, etc.</w:t>
      </w:r>
      <w:r w:rsidR="00126BD0">
        <w:t>)</w:t>
      </w:r>
      <w:r>
        <w:t>;</w:t>
      </w:r>
    </w:p>
    <w:p w14:paraId="2B729EB8" w14:textId="2704F9C0" w:rsidR="00D9234D" w:rsidRDefault="00D24FD7" w:rsidP="00D9234D">
      <w:pPr>
        <w:numPr>
          <w:ilvl w:val="2"/>
          <w:numId w:val="11"/>
        </w:numPr>
        <w:ind w:left="1080" w:hanging="360"/>
      </w:pPr>
      <w:r>
        <w:t>Does NOT include</w:t>
      </w:r>
      <w:r w:rsidR="00D9234D">
        <w:t xml:space="preserve"> any of the following</w:t>
      </w:r>
      <w:r>
        <w:t xml:space="preserve"> contraindications</w:t>
      </w:r>
      <w:r w:rsidR="00D9234D">
        <w:t>:</w:t>
      </w:r>
    </w:p>
    <w:p w14:paraId="66867028" w14:textId="0D2778B0" w:rsidR="00513F15" w:rsidRDefault="00513F15" w:rsidP="00DA3EEB">
      <w:pPr>
        <w:numPr>
          <w:ilvl w:val="3"/>
          <w:numId w:val="11"/>
        </w:numPr>
        <w:ind w:left="1440"/>
      </w:pPr>
      <w:r>
        <w:t>Previous administration of sclerotherapy agent &lt; 6 weeks prior;</w:t>
      </w:r>
    </w:p>
    <w:p w14:paraId="1A76CE7E" w14:textId="3ECA009E" w:rsidR="00DA3EEB" w:rsidRDefault="00DA3EEB" w:rsidP="00DA3EEB">
      <w:pPr>
        <w:numPr>
          <w:ilvl w:val="3"/>
          <w:numId w:val="11"/>
        </w:numPr>
        <w:ind w:left="1440"/>
      </w:pPr>
      <w:r>
        <w:t>Allergy to sclerotherapy agent</w:t>
      </w:r>
      <w:r w:rsidR="00D5265C">
        <w:t>;</w:t>
      </w:r>
    </w:p>
    <w:p w14:paraId="2DBA1132" w14:textId="546D2561" w:rsidR="00DA3EEB" w:rsidRDefault="008729E0" w:rsidP="00DA3EEB">
      <w:pPr>
        <w:numPr>
          <w:ilvl w:val="3"/>
          <w:numId w:val="11"/>
        </w:numPr>
        <w:ind w:left="1440"/>
      </w:pPr>
      <w:r>
        <w:t>Pregnant or within</w:t>
      </w:r>
      <w:r w:rsidR="00DA3EEB">
        <w:t xml:space="preserve"> 3 months after delivery</w:t>
      </w:r>
      <w:r w:rsidR="00D5265C">
        <w:t>;</w:t>
      </w:r>
      <w:r w:rsidR="00DA3EEB">
        <w:t xml:space="preserve"> </w:t>
      </w:r>
    </w:p>
    <w:p w14:paraId="56327D82" w14:textId="360D2BAD" w:rsidR="00DA3EEB" w:rsidRDefault="00DA3EEB" w:rsidP="00DA3EEB">
      <w:pPr>
        <w:numPr>
          <w:ilvl w:val="3"/>
          <w:numId w:val="11"/>
        </w:numPr>
        <w:ind w:left="1440"/>
      </w:pPr>
      <w:r>
        <w:t>Acute febrile illness</w:t>
      </w:r>
      <w:r w:rsidR="00D5265C">
        <w:t>;</w:t>
      </w:r>
    </w:p>
    <w:p w14:paraId="6A05D5F7" w14:textId="32516071" w:rsidR="00DA3EEB" w:rsidRDefault="00DA3EEB" w:rsidP="00DA3EEB">
      <w:pPr>
        <w:numPr>
          <w:ilvl w:val="3"/>
          <w:numId w:val="11"/>
        </w:numPr>
        <w:ind w:left="1440"/>
      </w:pPr>
      <w:r>
        <w:t>Local or general infection</w:t>
      </w:r>
      <w:r w:rsidR="00D5265C">
        <w:t>;</w:t>
      </w:r>
    </w:p>
    <w:p w14:paraId="7CEE5A97" w14:textId="76EDABA9" w:rsidR="00DA3EEB" w:rsidRDefault="00DA3EEB" w:rsidP="00DA3EEB">
      <w:pPr>
        <w:numPr>
          <w:ilvl w:val="3"/>
          <w:numId w:val="11"/>
        </w:numPr>
        <w:ind w:left="1440"/>
      </w:pPr>
      <w:r>
        <w:t>Severe distal arterial occlusive disease (ankle-brachial index 0.4 or less)</w:t>
      </w:r>
      <w:r w:rsidR="00D5265C">
        <w:t>;</w:t>
      </w:r>
    </w:p>
    <w:p w14:paraId="5F164857" w14:textId="16DF5FB8" w:rsidR="00DA3EEB" w:rsidRDefault="00DA3EEB" w:rsidP="00DA3EEB">
      <w:pPr>
        <w:numPr>
          <w:ilvl w:val="3"/>
          <w:numId w:val="11"/>
        </w:numPr>
        <w:ind w:left="1440"/>
      </w:pPr>
      <w:r>
        <w:t>Critical limb ischemia, arterial ulcer(s), gangrene</w:t>
      </w:r>
      <w:r w:rsidR="00D5265C">
        <w:t>;</w:t>
      </w:r>
    </w:p>
    <w:p w14:paraId="74E22A9D" w14:textId="1267C9EC" w:rsidR="00DA3EEB" w:rsidRDefault="00DA3EEB" w:rsidP="00DA3EEB">
      <w:pPr>
        <w:numPr>
          <w:ilvl w:val="3"/>
          <w:numId w:val="11"/>
        </w:numPr>
        <w:ind w:left="1440"/>
      </w:pPr>
      <w:r>
        <w:t>Obliteration of deep venous system</w:t>
      </w:r>
      <w:r w:rsidR="00D5265C">
        <w:t>;</w:t>
      </w:r>
    </w:p>
    <w:p w14:paraId="2389B04A" w14:textId="32BA1F6D" w:rsidR="00DA3EEB" w:rsidRPr="002A581A" w:rsidRDefault="00DA3EEB" w:rsidP="00DA3EEB">
      <w:pPr>
        <w:numPr>
          <w:ilvl w:val="3"/>
          <w:numId w:val="11"/>
        </w:numPr>
        <w:ind w:left="1440"/>
      </w:pPr>
      <w:r w:rsidRPr="002A581A">
        <w:t>Recent deep venous thrombosis</w:t>
      </w:r>
      <w:r w:rsidR="00D5265C" w:rsidRPr="002A581A">
        <w:t>;</w:t>
      </w:r>
    </w:p>
    <w:p w14:paraId="743CC60B" w14:textId="2874BBD3" w:rsidR="00DA3EEB" w:rsidRDefault="00DA3EEB" w:rsidP="00DA3EEB">
      <w:pPr>
        <w:numPr>
          <w:ilvl w:val="3"/>
          <w:numId w:val="11"/>
        </w:numPr>
        <w:ind w:left="1440"/>
      </w:pPr>
      <w:r>
        <w:t>Acute deep venous thrombophlebitis or acu</w:t>
      </w:r>
      <w:r w:rsidR="00D5265C">
        <w:t>te superficial thrombophlebitis;</w:t>
      </w:r>
    </w:p>
    <w:p w14:paraId="5A8698EB" w14:textId="21566399" w:rsidR="00DA3EEB" w:rsidRDefault="00DA3EEB" w:rsidP="00DA3EEB">
      <w:pPr>
        <w:numPr>
          <w:ilvl w:val="3"/>
          <w:numId w:val="11"/>
        </w:numPr>
        <w:ind w:left="1440"/>
      </w:pPr>
      <w:r>
        <w:t>Inability to ambulate</w:t>
      </w:r>
      <w:r w:rsidR="00D5265C">
        <w:t>;</w:t>
      </w:r>
    </w:p>
    <w:p w14:paraId="39346E27" w14:textId="0A57AE97" w:rsidR="00D9234D" w:rsidRDefault="00DA3EEB" w:rsidP="00DA3EEB">
      <w:pPr>
        <w:numPr>
          <w:ilvl w:val="3"/>
          <w:numId w:val="11"/>
        </w:numPr>
        <w:ind w:left="1440"/>
      </w:pPr>
      <w:r>
        <w:t xml:space="preserve">Tortuosity of the </w:t>
      </w:r>
      <w:r w:rsidR="00D5265C">
        <w:t>g</w:t>
      </w:r>
      <w:r>
        <w:t>reat saphenous vein severe enough to impede catheter placement</w:t>
      </w:r>
      <w:r w:rsidR="009001F6">
        <w:t>;</w:t>
      </w:r>
    </w:p>
    <w:p w14:paraId="27DDA41C" w14:textId="7F74B074" w:rsidR="002F505F" w:rsidRPr="0014714F" w:rsidRDefault="002F505F" w:rsidP="00DA3EEB">
      <w:pPr>
        <w:numPr>
          <w:ilvl w:val="3"/>
          <w:numId w:val="11"/>
        </w:numPr>
        <w:ind w:left="1440"/>
      </w:pPr>
      <w:r w:rsidRPr="00105559">
        <w:t>Klippel-Trenaunay Syndrome or other congenital venous abnormalities</w:t>
      </w:r>
      <w:r w:rsidR="009001F6">
        <w:t>.</w:t>
      </w:r>
    </w:p>
    <w:p w14:paraId="442E1626" w14:textId="77777777" w:rsidR="00C96847" w:rsidRDefault="00C96847" w:rsidP="00DA3EEB">
      <w:pPr>
        <w:ind w:left="1440"/>
      </w:pPr>
    </w:p>
    <w:p w14:paraId="67EC84D9" w14:textId="60D17B32" w:rsidR="00AA5DB5" w:rsidRDefault="00AA5DB5" w:rsidP="00AA5DB5">
      <w:pPr>
        <w:numPr>
          <w:ilvl w:val="0"/>
          <w:numId w:val="11"/>
        </w:numPr>
        <w:ind w:left="360"/>
      </w:pPr>
      <w:r>
        <w:rPr>
          <w:bCs/>
          <w:color w:val="000000"/>
        </w:rPr>
        <w:lastRenderedPageBreak/>
        <w:t xml:space="preserve">It is the policy of health plans affiliated with Centene Corporation </w:t>
      </w:r>
      <w:r w:rsidR="00D9234D">
        <w:t xml:space="preserve">that sclerotherapy </w:t>
      </w:r>
      <w:r>
        <w:t xml:space="preserve">is </w:t>
      </w:r>
      <w:r w:rsidR="00D5265C">
        <w:rPr>
          <w:b/>
        </w:rPr>
        <w:t>not medically necessary</w:t>
      </w:r>
      <w:r>
        <w:t xml:space="preserve"> for </w:t>
      </w:r>
      <w:r w:rsidR="00C6070A">
        <w:t xml:space="preserve">any of </w:t>
      </w:r>
      <w:r>
        <w:t>the following indications:</w:t>
      </w:r>
    </w:p>
    <w:p w14:paraId="3ACC4A34" w14:textId="77777777" w:rsidR="00C96D41" w:rsidRDefault="00D9234D" w:rsidP="00C96D41">
      <w:pPr>
        <w:numPr>
          <w:ilvl w:val="1"/>
          <w:numId w:val="11"/>
        </w:numPr>
        <w:ind w:left="720"/>
      </w:pPr>
      <w:r>
        <w:t>Asymptomatic varicose veins</w:t>
      </w:r>
      <w:r w:rsidR="00DA3EEB">
        <w:t xml:space="preserve"> </w:t>
      </w:r>
    </w:p>
    <w:p w14:paraId="5A7151DF" w14:textId="3575B90F" w:rsidR="00C6070A" w:rsidRDefault="00C6070A" w:rsidP="00C31828">
      <w:pPr>
        <w:numPr>
          <w:ilvl w:val="2"/>
          <w:numId w:val="11"/>
        </w:numPr>
        <w:ind w:left="1080" w:hanging="360"/>
      </w:pPr>
      <w:r>
        <w:t>Superficial reticular veins and/or telangiectasias</w:t>
      </w:r>
      <w:r w:rsidR="00D75E0F">
        <w:t>;</w:t>
      </w:r>
    </w:p>
    <w:p w14:paraId="1CB78339" w14:textId="200D5766" w:rsidR="007A267A" w:rsidRDefault="00CF38D7" w:rsidP="007A267A">
      <w:pPr>
        <w:numPr>
          <w:ilvl w:val="1"/>
          <w:numId w:val="11"/>
        </w:numPr>
        <w:ind w:left="720"/>
      </w:pPr>
      <w:r w:rsidRPr="00CF38D7">
        <w:rPr>
          <w:bCs/>
        </w:rPr>
        <w:t>For the treatment of all other conditions than those specified above</w:t>
      </w:r>
      <w:r w:rsidRPr="00513C1D">
        <w:t>.</w:t>
      </w:r>
    </w:p>
    <w:p w14:paraId="5FBA0468" w14:textId="77777777" w:rsidR="009001F6" w:rsidRDefault="009001F6" w:rsidP="00105559">
      <w:pPr>
        <w:ind w:left="720"/>
        <w:rPr>
          <w:bCs/>
          <w:color w:val="000000"/>
        </w:rPr>
      </w:pPr>
    </w:p>
    <w:p w14:paraId="3ADEA34B" w14:textId="4EC6E80A" w:rsidR="007A267A" w:rsidRPr="00CF38D7" w:rsidRDefault="007A267A" w:rsidP="00105559">
      <w:pPr>
        <w:pStyle w:val="ListParagraph"/>
        <w:numPr>
          <w:ilvl w:val="0"/>
          <w:numId w:val="11"/>
        </w:numPr>
        <w:ind w:left="360"/>
      </w:pPr>
      <w:r w:rsidRPr="00105559">
        <w:rPr>
          <w:bCs/>
          <w:color w:val="000000"/>
        </w:rPr>
        <w:t>It is the policy of health plans affiliated with Centene Corporation that cyanoacrylate adhesive</w:t>
      </w:r>
      <w:r w:rsidR="00443C81">
        <w:rPr>
          <w:bCs/>
          <w:color w:val="000000"/>
        </w:rPr>
        <w:t xml:space="preserve"> (</w:t>
      </w:r>
      <w:r w:rsidR="007B6D0D">
        <w:rPr>
          <w:bCs/>
          <w:color w:val="000000"/>
        </w:rPr>
        <w:t xml:space="preserve">e.g. </w:t>
      </w:r>
      <w:r w:rsidR="00443C81">
        <w:rPr>
          <w:bCs/>
          <w:color w:val="000000"/>
        </w:rPr>
        <w:t>VenaSeal</w:t>
      </w:r>
      <w:r w:rsidR="007B6D0D">
        <w:rPr>
          <w:bCs/>
          <w:color w:val="000000"/>
        </w:rPr>
        <w:t>™</w:t>
      </w:r>
      <w:r w:rsidR="00443C81">
        <w:rPr>
          <w:bCs/>
          <w:color w:val="000000"/>
        </w:rPr>
        <w:t>)</w:t>
      </w:r>
      <w:r w:rsidRPr="00105559">
        <w:rPr>
          <w:bCs/>
          <w:color w:val="000000"/>
        </w:rPr>
        <w:t xml:space="preserve"> is considered investigational for the treatment of varicose veins.</w:t>
      </w:r>
      <w:r>
        <w:t xml:space="preserve"> </w:t>
      </w:r>
    </w:p>
    <w:p w14:paraId="37148BD1" w14:textId="77777777" w:rsidR="003F3D44" w:rsidRDefault="003F3D44" w:rsidP="00105559">
      <w:pPr>
        <w:ind w:left="720"/>
      </w:pPr>
    </w:p>
    <w:p w14:paraId="03C0E9B5" w14:textId="77777777" w:rsidR="00FB0592" w:rsidRDefault="00FB0592" w:rsidP="00FB0592">
      <w:pPr>
        <w:pStyle w:val="Heading2"/>
        <w:rPr>
          <w:u w:val="none"/>
        </w:rPr>
      </w:pPr>
      <w:r w:rsidRPr="00B777AF">
        <w:rPr>
          <w:u w:val="none"/>
        </w:rPr>
        <w:t>Background</w:t>
      </w:r>
    </w:p>
    <w:p w14:paraId="07944F68" w14:textId="7A3FE4C8" w:rsidR="00B75285" w:rsidRDefault="002279A4">
      <w:pPr>
        <w:rPr>
          <w:bCs/>
        </w:rPr>
      </w:pPr>
      <w:r>
        <w:rPr>
          <w:bCs/>
        </w:rPr>
        <w:t>Varicose veins</w:t>
      </w:r>
      <w:r w:rsidR="00AA5DB5">
        <w:rPr>
          <w:bCs/>
        </w:rPr>
        <w:t xml:space="preserve"> </w:t>
      </w:r>
      <w:r w:rsidR="00EC455E">
        <w:rPr>
          <w:bCs/>
        </w:rPr>
        <w:t xml:space="preserve">can cause significant pain and discomfort, </w:t>
      </w:r>
      <w:r w:rsidR="00BA3C59">
        <w:rPr>
          <w:bCs/>
        </w:rPr>
        <w:t>superficial thrombophlebitis, bleeding, and ulceration</w:t>
      </w:r>
      <w:r w:rsidR="009C4FE8">
        <w:rPr>
          <w:bCs/>
        </w:rPr>
        <w:t>.</w:t>
      </w:r>
      <w:r w:rsidR="00D65EA7">
        <w:rPr>
          <w:bCs/>
        </w:rPr>
        <w:t xml:space="preserve">  </w:t>
      </w:r>
      <w:r>
        <w:rPr>
          <w:bCs/>
        </w:rPr>
        <w:t xml:space="preserve">As such, chronic venous insufficiency, including symptomatic varicosities, </w:t>
      </w:r>
      <w:r w:rsidR="00BA3C59">
        <w:rPr>
          <w:bCs/>
        </w:rPr>
        <w:t>can have a substantial negative impact on quality of life.</w:t>
      </w:r>
      <w:r w:rsidR="00614CBC">
        <w:rPr>
          <w:bCs/>
          <w:vertAlign w:val="superscript"/>
        </w:rPr>
        <w:t>1</w:t>
      </w:r>
      <w:r w:rsidR="00614CBC">
        <w:rPr>
          <w:bCs/>
        </w:rPr>
        <w:t xml:space="preserve">  The pathophysiology that leads to these varicosities include i</w:t>
      </w:r>
      <w:r w:rsidR="00614CBC" w:rsidRPr="00614CBC">
        <w:rPr>
          <w:bCs/>
        </w:rPr>
        <w:t xml:space="preserve">nadequate muscle pump function, incompetent venous valves (reflux), </w:t>
      </w:r>
      <w:r w:rsidR="00614CBC">
        <w:rPr>
          <w:bCs/>
        </w:rPr>
        <w:t xml:space="preserve">and venous </w:t>
      </w:r>
      <w:r w:rsidR="00614CBC" w:rsidRPr="00614CBC">
        <w:rPr>
          <w:bCs/>
        </w:rPr>
        <w:t>obstruction</w:t>
      </w:r>
      <w:r w:rsidR="00614CBC">
        <w:rPr>
          <w:bCs/>
        </w:rPr>
        <w:t>.</w:t>
      </w:r>
      <w:r w:rsidR="00614CBC">
        <w:rPr>
          <w:bCs/>
          <w:vertAlign w:val="superscript"/>
        </w:rPr>
        <w:t>2</w:t>
      </w:r>
      <w:r w:rsidR="00614CBC">
        <w:rPr>
          <w:bCs/>
        </w:rPr>
        <w:t xml:space="preserve">  </w:t>
      </w:r>
    </w:p>
    <w:p w14:paraId="0879F2DA" w14:textId="77777777" w:rsidR="00B75285" w:rsidRDefault="00B75285">
      <w:pPr>
        <w:rPr>
          <w:bCs/>
        </w:rPr>
      </w:pPr>
    </w:p>
    <w:p w14:paraId="2CBD4DD7" w14:textId="5F700AAC" w:rsidR="009D5928" w:rsidRDefault="00B75285">
      <w:pPr>
        <w:rPr>
          <w:color w:val="000000"/>
          <w:shd w:val="clear" w:color="auto" w:fill="FFFFFF"/>
          <w:vertAlign w:val="superscript"/>
        </w:rPr>
      </w:pPr>
      <w:r>
        <w:rPr>
          <w:bCs/>
        </w:rPr>
        <w:t>According to clinical practice guidelines by the Society for Vascular Surgery and the American Venous Form, sclerotherapy is a recommended treatment option for varicose veins.</w:t>
      </w:r>
      <w:r>
        <w:rPr>
          <w:bCs/>
          <w:vertAlign w:val="superscript"/>
        </w:rPr>
        <w:t>4</w:t>
      </w:r>
      <w:r>
        <w:rPr>
          <w:bCs/>
        </w:rPr>
        <w:t xml:space="preserve">  </w:t>
      </w:r>
      <w:r w:rsidR="000000C5">
        <w:rPr>
          <w:bCs/>
        </w:rPr>
        <w:t xml:space="preserve">Sclerotherapy is a </w:t>
      </w:r>
      <w:r w:rsidR="00081C01">
        <w:rPr>
          <w:bCs/>
        </w:rPr>
        <w:t xml:space="preserve">minimally invasive </w:t>
      </w:r>
      <w:r w:rsidR="00614CBC">
        <w:rPr>
          <w:bCs/>
        </w:rPr>
        <w:t xml:space="preserve">and cost effective </w:t>
      </w:r>
      <w:r w:rsidR="00081C01">
        <w:rPr>
          <w:bCs/>
        </w:rPr>
        <w:t xml:space="preserve">procedure used to treat </w:t>
      </w:r>
      <w:r w:rsidR="002E2E86">
        <w:rPr>
          <w:bCs/>
        </w:rPr>
        <w:t>varicose veins</w:t>
      </w:r>
      <w:r w:rsidR="00433329">
        <w:rPr>
          <w:bCs/>
        </w:rPr>
        <w:t xml:space="preserve">.  </w:t>
      </w:r>
      <w:r w:rsidR="002E2E86">
        <w:rPr>
          <w:bCs/>
        </w:rPr>
        <w:t xml:space="preserve">To perform this procedure, chemical irritants are injected into the unwanted vein to close varicosities.  </w:t>
      </w:r>
      <w:r>
        <w:rPr>
          <w:bCs/>
        </w:rPr>
        <w:t>Destruction</w:t>
      </w:r>
      <w:r w:rsidR="00FD1126">
        <w:rPr>
          <w:bCs/>
        </w:rPr>
        <w:t xml:space="preserve"> of </w:t>
      </w:r>
      <w:r>
        <w:rPr>
          <w:bCs/>
        </w:rPr>
        <w:t>venous</w:t>
      </w:r>
      <w:r w:rsidR="00FD1126">
        <w:rPr>
          <w:bCs/>
        </w:rPr>
        <w:t xml:space="preserve"> </w:t>
      </w:r>
      <w:r>
        <w:rPr>
          <w:bCs/>
        </w:rPr>
        <w:t>endothelial</w:t>
      </w:r>
      <w:r w:rsidR="00FD1126">
        <w:rPr>
          <w:bCs/>
        </w:rPr>
        <w:t xml:space="preserve"> cells and the formation of a fibrotic obstruction facilitate the venous closure due to injection of sclerosing agents.  </w:t>
      </w:r>
      <w:r w:rsidR="002E2E86">
        <w:rPr>
          <w:bCs/>
        </w:rPr>
        <w:t xml:space="preserve">Liquid and foam sclerotherapy are the two predominant modalities for the introduction of sclerosing agents; examples of such </w:t>
      </w:r>
      <w:r>
        <w:rPr>
          <w:bCs/>
        </w:rPr>
        <w:t xml:space="preserve">sclerosing agents </w:t>
      </w:r>
      <w:r w:rsidR="002E2E86">
        <w:rPr>
          <w:bCs/>
        </w:rPr>
        <w:t>include osmotic, alcohol and detergent agents.</w:t>
      </w:r>
      <w:r w:rsidR="002E2E86">
        <w:rPr>
          <w:bCs/>
          <w:vertAlign w:val="superscript"/>
        </w:rPr>
        <w:t>3,4</w:t>
      </w:r>
      <w:r w:rsidR="002E2E86">
        <w:rPr>
          <w:bCs/>
        </w:rPr>
        <w:t xml:space="preserve">  </w:t>
      </w:r>
      <w:r w:rsidR="00BD34DA" w:rsidRPr="003A4ED1">
        <w:rPr>
          <w:bCs/>
        </w:rPr>
        <w:t xml:space="preserve">A systemic review by Tisi </w:t>
      </w:r>
      <w:r w:rsidR="00BD34DA" w:rsidRPr="003A4ED1">
        <w:rPr>
          <w:bCs/>
          <w:i/>
        </w:rPr>
        <w:t>et al</w:t>
      </w:r>
      <w:r w:rsidR="00BD34DA" w:rsidRPr="003A4ED1">
        <w:rPr>
          <w:bCs/>
        </w:rPr>
        <w:t xml:space="preserve"> </w:t>
      </w:r>
      <w:r w:rsidRPr="003A4ED1">
        <w:rPr>
          <w:bCs/>
        </w:rPr>
        <w:t>evaluated</w:t>
      </w:r>
      <w:r w:rsidR="00BD34DA" w:rsidRPr="003A4ED1">
        <w:rPr>
          <w:bCs/>
        </w:rPr>
        <w:t xml:space="preserve"> 17 randomized controlled trials, and concluded that c</w:t>
      </w:r>
      <w:r w:rsidR="00BD34DA" w:rsidRPr="003A4ED1">
        <w:rPr>
          <w:color w:val="000000"/>
          <w:shd w:val="clear" w:color="auto" w:fill="FFFFFF"/>
        </w:rPr>
        <w:t xml:space="preserve">hoice of </w:t>
      </w:r>
      <w:r w:rsidRPr="003A4ED1">
        <w:rPr>
          <w:bCs/>
        </w:rPr>
        <w:t>sclerosing agents</w:t>
      </w:r>
      <w:r w:rsidR="00BD34DA" w:rsidRPr="003A4ED1">
        <w:rPr>
          <w:color w:val="000000"/>
          <w:shd w:val="clear" w:color="auto" w:fill="FFFFFF"/>
        </w:rPr>
        <w:t>, dose, formulation (foam versus liquid), among other factors lack a significant effect on the efficacy of sclerotherapy for</w:t>
      </w:r>
      <w:r w:rsidR="00BD34DA" w:rsidRPr="003A4ED1">
        <w:rPr>
          <w:rStyle w:val="apple-converted-space"/>
          <w:color w:val="000000"/>
          <w:shd w:val="clear" w:color="auto" w:fill="FFFFFF"/>
        </w:rPr>
        <w:t xml:space="preserve"> </w:t>
      </w:r>
      <w:r w:rsidR="00BD34DA" w:rsidRPr="003A4ED1">
        <w:rPr>
          <w:rStyle w:val="highlight"/>
          <w:color w:val="000000"/>
          <w:shd w:val="clear" w:color="auto" w:fill="FFFFFF"/>
        </w:rPr>
        <w:t>varicose veins</w:t>
      </w:r>
      <w:r w:rsidR="00BD34DA" w:rsidRPr="003A4ED1">
        <w:rPr>
          <w:color w:val="000000"/>
          <w:shd w:val="clear" w:color="auto" w:fill="FFFFFF"/>
        </w:rPr>
        <w:t>.</w:t>
      </w:r>
      <w:r w:rsidR="003A4ED1">
        <w:rPr>
          <w:color w:val="000000"/>
          <w:shd w:val="clear" w:color="auto" w:fill="FFFFFF"/>
          <w:vertAlign w:val="superscript"/>
        </w:rPr>
        <w:t>6</w:t>
      </w:r>
      <w:r w:rsidR="00BD34DA" w:rsidRPr="003A4ED1">
        <w:rPr>
          <w:color w:val="000000"/>
          <w:shd w:val="clear" w:color="auto" w:fill="FFFFFF"/>
          <w:vertAlign w:val="superscript"/>
        </w:rPr>
        <w:t xml:space="preserve">  </w:t>
      </w:r>
    </w:p>
    <w:p w14:paraId="22F546D1" w14:textId="77777777" w:rsidR="00053C97" w:rsidRDefault="00053C97">
      <w:pPr>
        <w:rPr>
          <w:color w:val="000000"/>
          <w:shd w:val="clear" w:color="auto" w:fill="FFFFFF"/>
          <w:vertAlign w:val="superscript"/>
        </w:rPr>
      </w:pPr>
    </w:p>
    <w:p w14:paraId="3A3C7973" w14:textId="542F0E4D" w:rsidR="00053C97" w:rsidRPr="00BD34DA" w:rsidRDefault="00053C97">
      <w:pPr>
        <w:rPr>
          <w:bCs/>
        </w:rPr>
      </w:pPr>
      <w:r>
        <w:rPr>
          <w:color w:val="000000"/>
          <w:shd w:val="clear" w:color="auto" w:fill="FFFFFF"/>
        </w:rPr>
        <w:t>Although cyanoacrylate</w:t>
      </w:r>
      <w:r w:rsidR="000850F2">
        <w:rPr>
          <w:color w:val="000000"/>
          <w:shd w:val="clear" w:color="auto" w:fill="FFFFFF"/>
        </w:rPr>
        <w:t xml:space="preserve"> adhesive</w:t>
      </w:r>
      <w:r>
        <w:rPr>
          <w:color w:val="000000"/>
          <w:shd w:val="clear" w:color="auto" w:fill="FFFFFF"/>
        </w:rPr>
        <w:t xml:space="preserve"> has been introduced as an injectable agent for use in sclerotherapy, f</w:t>
      </w:r>
      <w:r w:rsidR="000850F2">
        <w:rPr>
          <w:color w:val="000000"/>
          <w:shd w:val="clear" w:color="auto" w:fill="FFFFFF"/>
        </w:rPr>
        <w:t>uture follow-up studies are needed to suppor</w:t>
      </w:r>
      <w:r w:rsidR="00F07E3D">
        <w:rPr>
          <w:color w:val="000000"/>
          <w:shd w:val="clear" w:color="auto" w:fill="FFFFFF"/>
        </w:rPr>
        <w:t xml:space="preserve">t the efficacy and safety in </w:t>
      </w:r>
      <w:r w:rsidR="002A53B9">
        <w:t xml:space="preserve">treatment of varicose veins.  The </w:t>
      </w:r>
      <w:r w:rsidR="003A4ED1">
        <w:t xml:space="preserve">notable </w:t>
      </w:r>
      <w:r w:rsidR="002A53B9">
        <w:t>literature currently consists of a retrospective and a prospective study without randomization.</w:t>
      </w:r>
      <w:r w:rsidR="003A4ED1">
        <w:rPr>
          <w:vertAlign w:val="superscript"/>
        </w:rPr>
        <w:t>7,9</w:t>
      </w:r>
      <w:r w:rsidR="002A53B9">
        <w:t xml:space="preserve">  Further long-term studies are needed to support the use of cyanoacrylate prior to integrati</w:t>
      </w:r>
      <w:r w:rsidR="000850F2">
        <w:t>o</w:t>
      </w:r>
      <w:r w:rsidR="002A53B9">
        <w:t>n into medical necessity guidelines.</w:t>
      </w:r>
    </w:p>
    <w:p w14:paraId="283BB659" w14:textId="77777777" w:rsidR="000000C5" w:rsidRDefault="000000C5">
      <w:pPr>
        <w:rPr>
          <w:b/>
          <w:bCs/>
        </w:rPr>
      </w:pPr>
    </w:p>
    <w:p w14:paraId="755FF9B5" w14:textId="77777777" w:rsidR="00170B14" w:rsidRPr="00B777AF" w:rsidRDefault="00170B14" w:rsidP="00170B14">
      <w:pPr>
        <w:rPr>
          <w:b/>
        </w:rPr>
      </w:pPr>
      <w:bookmarkStart w:id="0" w:name="Coding_Implications"/>
      <w:r w:rsidRPr="00B777AF">
        <w:rPr>
          <w:b/>
        </w:rPr>
        <w:t>Coding Implications</w:t>
      </w:r>
    </w:p>
    <w:bookmarkEnd w:id="0"/>
    <w:p w14:paraId="7DFB9554" w14:textId="2C44808F" w:rsidR="00AF5490" w:rsidRDefault="00DD6ADB"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513F15">
        <w:t>9</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379CAC08" w14:textId="0D6C1F74" w:rsidR="00AF5490" w:rsidRDefault="00AF5490" w:rsidP="00AF5490"/>
    <w:p w14:paraId="07FF67D5" w14:textId="37301D27" w:rsidR="00443C81" w:rsidRDefault="00443C81" w:rsidP="00AF5490"/>
    <w:p w14:paraId="4BDB4246" w14:textId="0EF1EDB4" w:rsidR="00443C81" w:rsidRDefault="00443C81" w:rsidP="00AF5490"/>
    <w:p w14:paraId="7238BB4C" w14:textId="073E7588" w:rsidR="00443C81" w:rsidRDefault="00443C81" w:rsidP="00AF5490"/>
    <w:p w14:paraId="022F8B35" w14:textId="652187A5" w:rsidR="00443C81" w:rsidRPr="00FB7F9B" w:rsidRDefault="00FB7F9B" w:rsidP="00AF5490">
      <w:pPr>
        <w:rPr>
          <w:b/>
        </w:rPr>
      </w:pPr>
      <w:r w:rsidRPr="00FB7F9B">
        <w:rPr>
          <w:b/>
        </w:rPr>
        <w:t>Codes that support medical necessity</w:t>
      </w:r>
    </w:p>
    <w:tbl>
      <w:tblPr>
        <w:tblStyle w:val="TableGrid"/>
        <w:tblW w:w="4772" w:type="pct"/>
        <w:tblLook w:val="0020" w:firstRow="1" w:lastRow="0" w:firstColumn="0" w:lastColumn="0" w:noHBand="0" w:noVBand="0"/>
      </w:tblPr>
      <w:tblGrid>
        <w:gridCol w:w="1108"/>
        <w:gridCol w:w="7816"/>
      </w:tblGrid>
      <w:tr w:rsidR="00B777AF" w:rsidRPr="00B777AF" w14:paraId="54321C74" w14:textId="77777777" w:rsidTr="00B92DF1">
        <w:trPr>
          <w:tblHeader/>
        </w:trPr>
        <w:tc>
          <w:tcPr>
            <w:tcW w:w="1138" w:type="dxa"/>
            <w:shd w:val="clear" w:color="auto" w:fill="00548C"/>
          </w:tcPr>
          <w:p w14:paraId="108073C5" w14:textId="77777777" w:rsidR="00D36448" w:rsidRPr="00B777AF" w:rsidRDefault="00D36448" w:rsidP="00C10DF0">
            <w:pPr>
              <w:rPr>
                <w:b/>
                <w:bCs/>
                <w:color w:val="FFFFFF" w:themeColor="background1"/>
              </w:rPr>
            </w:pPr>
            <w:r w:rsidRPr="00B777AF">
              <w:rPr>
                <w:b/>
                <w:color w:val="FFFFFF" w:themeColor="background1"/>
              </w:rPr>
              <w:t>CPT</w:t>
            </w:r>
            <w:r w:rsidR="005D7B81">
              <w:rPr>
                <w:b/>
                <w:color w:val="FFFFFF" w:themeColor="background1"/>
                <w:vertAlign w:val="superscript"/>
              </w:rPr>
              <w:t>®</w:t>
            </w:r>
            <w:r w:rsidRPr="00B777AF">
              <w:rPr>
                <w:b/>
                <w:color w:val="FFFFFF" w:themeColor="background1"/>
              </w:rPr>
              <w:t xml:space="preserve"> Codes </w:t>
            </w:r>
          </w:p>
        </w:tc>
        <w:tc>
          <w:tcPr>
            <w:tcW w:w="8510" w:type="dxa"/>
            <w:shd w:val="clear" w:color="auto" w:fill="00548C"/>
          </w:tcPr>
          <w:p w14:paraId="2AE5FD45" w14:textId="77777777" w:rsidR="00D36448" w:rsidRPr="00B777AF" w:rsidRDefault="00D36448" w:rsidP="00C10DF0">
            <w:pPr>
              <w:rPr>
                <w:b/>
                <w:bCs/>
                <w:color w:val="FFFFFF" w:themeColor="background1"/>
              </w:rPr>
            </w:pPr>
            <w:r w:rsidRPr="00B777AF">
              <w:rPr>
                <w:b/>
                <w:color w:val="FFFFFF" w:themeColor="background1"/>
              </w:rPr>
              <w:t>Description</w:t>
            </w:r>
          </w:p>
        </w:tc>
      </w:tr>
      <w:tr w:rsidR="009A6502" w:rsidRPr="005144C0" w14:paraId="1E221650" w14:textId="77777777" w:rsidTr="001C2BF7">
        <w:trPr>
          <w:cantSplit/>
        </w:trPr>
        <w:tc>
          <w:tcPr>
            <w:tcW w:w="1138" w:type="dxa"/>
          </w:tcPr>
          <w:p w14:paraId="3F63BC1B" w14:textId="6D07A69E" w:rsidR="009A6502" w:rsidRDefault="009A6502" w:rsidP="00C10DF0">
            <w:pPr>
              <w:rPr>
                <w:bCs/>
              </w:rPr>
            </w:pPr>
            <w:r>
              <w:rPr>
                <w:bCs/>
              </w:rPr>
              <w:t>36465</w:t>
            </w:r>
          </w:p>
        </w:tc>
        <w:tc>
          <w:tcPr>
            <w:tcW w:w="8510" w:type="dxa"/>
          </w:tcPr>
          <w:p w14:paraId="703436AA" w14:textId="5D01CAC7" w:rsidR="009A6502" w:rsidRDefault="009A6502" w:rsidP="00C10DF0">
            <w:pPr>
              <w:rPr>
                <w:color w:val="000000"/>
              </w:rPr>
            </w:pPr>
            <w:r w:rsidRPr="009A6502">
              <w:rPr>
                <w:color w:val="000000"/>
              </w:rPr>
              <w:t>Injection of non-compounded foam sclerosant with ultrasound compression maneuvers to guide dispersion of the injectate, inclusive of all imaging guidance and monitoring; single incompetent extremity truncal vein (eg, great saphenous vein, accessory saphenous vein)</w:t>
            </w:r>
          </w:p>
        </w:tc>
      </w:tr>
      <w:tr w:rsidR="009A6502" w:rsidRPr="005144C0" w14:paraId="2C766F04" w14:textId="77777777" w:rsidTr="00480C09">
        <w:tc>
          <w:tcPr>
            <w:tcW w:w="1138" w:type="dxa"/>
          </w:tcPr>
          <w:p w14:paraId="59A50554" w14:textId="568DBC07" w:rsidR="009A6502" w:rsidRDefault="009A6502" w:rsidP="00C10DF0">
            <w:pPr>
              <w:rPr>
                <w:bCs/>
              </w:rPr>
            </w:pPr>
            <w:r>
              <w:rPr>
                <w:bCs/>
              </w:rPr>
              <w:t>36466</w:t>
            </w:r>
          </w:p>
        </w:tc>
        <w:tc>
          <w:tcPr>
            <w:tcW w:w="8510" w:type="dxa"/>
          </w:tcPr>
          <w:p w14:paraId="2ACA42EE" w14:textId="2B9555C1" w:rsidR="009A6502" w:rsidRPr="009A6502" w:rsidRDefault="009A6502" w:rsidP="00C10DF0">
            <w:pPr>
              <w:rPr>
                <w:color w:val="000000"/>
              </w:rPr>
            </w:pPr>
            <w:r w:rsidRPr="009A6502">
              <w:rPr>
                <w:color w:val="000000"/>
              </w:rPr>
              <w:t>Injection of non-compounded foam sclerosant with ultrasound compression maneuvers to guide dispersion of the injectate, inclusive of all imaging guidance and monitoring; multiple incompetent truncal veins (eg, great saphenous vein, accessory saphenous vein), same leg.</w:t>
            </w:r>
          </w:p>
        </w:tc>
      </w:tr>
      <w:tr w:rsidR="00D36448" w:rsidRPr="005144C0" w14:paraId="49BFA406" w14:textId="77777777" w:rsidTr="00480C09">
        <w:tc>
          <w:tcPr>
            <w:tcW w:w="1138" w:type="dxa"/>
          </w:tcPr>
          <w:p w14:paraId="217A668F" w14:textId="25F5DEED" w:rsidR="00D36448" w:rsidRPr="005144C0" w:rsidRDefault="008A7CED" w:rsidP="00C10DF0">
            <w:pPr>
              <w:rPr>
                <w:bCs/>
              </w:rPr>
            </w:pPr>
            <w:r>
              <w:rPr>
                <w:bCs/>
              </w:rPr>
              <w:t>36470</w:t>
            </w:r>
          </w:p>
        </w:tc>
        <w:tc>
          <w:tcPr>
            <w:tcW w:w="8510" w:type="dxa"/>
          </w:tcPr>
          <w:p w14:paraId="6FBD3C4F" w14:textId="66EE9D4C" w:rsidR="00D36448" w:rsidRPr="005144C0" w:rsidRDefault="00D5265C" w:rsidP="009A6502">
            <w:pPr>
              <w:rPr>
                <w:bCs/>
              </w:rPr>
            </w:pPr>
            <w:r>
              <w:rPr>
                <w:color w:val="000000"/>
              </w:rPr>
              <w:t>Inj</w:t>
            </w:r>
            <w:r w:rsidR="009A6502">
              <w:rPr>
                <w:color w:val="000000"/>
              </w:rPr>
              <w:t>ection of sclerosant;</w:t>
            </w:r>
            <w:r>
              <w:rPr>
                <w:color w:val="000000"/>
              </w:rPr>
              <w:t xml:space="preserve"> s</w:t>
            </w:r>
            <w:r w:rsidR="009A6502">
              <w:rPr>
                <w:color w:val="000000"/>
              </w:rPr>
              <w:t>i</w:t>
            </w:r>
            <w:r>
              <w:rPr>
                <w:color w:val="000000"/>
              </w:rPr>
              <w:t>ngl</w:t>
            </w:r>
            <w:r w:rsidR="009A6502">
              <w:rPr>
                <w:color w:val="000000"/>
              </w:rPr>
              <w:t>e</w:t>
            </w:r>
            <w:r>
              <w:rPr>
                <w:color w:val="000000"/>
              </w:rPr>
              <w:t xml:space="preserve"> </w:t>
            </w:r>
            <w:r w:rsidR="009A6502">
              <w:rPr>
                <w:color w:val="000000"/>
              </w:rPr>
              <w:t xml:space="preserve">incompetent </w:t>
            </w:r>
            <w:r>
              <w:rPr>
                <w:color w:val="000000"/>
              </w:rPr>
              <w:t>vein</w:t>
            </w:r>
            <w:r w:rsidR="009A6502">
              <w:rPr>
                <w:color w:val="000000"/>
              </w:rPr>
              <w:t xml:space="preserve"> </w:t>
            </w:r>
            <w:r w:rsidR="009A6502" w:rsidRPr="009A6502">
              <w:rPr>
                <w:color w:val="000000"/>
              </w:rPr>
              <w:t>(other than telangiectasia)</w:t>
            </w:r>
          </w:p>
        </w:tc>
      </w:tr>
      <w:tr w:rsidR="008A7CED" w:rsidRPr="005144C0" w14:paraId="5E0139E1" w14:textId="77777777" w:rsidTr="00480C09">
        <w:tc>
          <w:tcPr>
            <w:tcW w:w="1138" w:type="dxa"/>
          </w:tcPr>
          <w:p w14:paraId="634FC029" w14:textId="6475E092" w:rsidR="008A7CED" w:rsidRDefault="008A7CED" w:rsidP="00C10DF0">
            <w:pPr>
              <w:rPr>
                <w:bCs/>
              </w:rPr>
            </w:pPr>
            <w:r>
              <w:rPr>
                <w:bCs/>
              </w:rPr>
              <w:t>36471</w:t>
            </w:r>
          </w:p>
        </w:tc>
        <w:tc>
          <w:tcPr>
            <w:tcW w:w="8510" w:type="dxa"/>
          </w:tcPr>
          <w:p w14:paraId="058BC495" w14:textId="2DAD432C" w:rsidR="008A7CED" w:rsidRDefault="009A6502" w:rsidP="00C10DF0">
            <w:pPr>
              <w:rPr>
                <w:color w:val="000000"/>
              </w:rPr>
            </w:pPr>
            <w:r w:rsidRPr="009A6502">
              <w:rPr>
                <w:color w:val="000000"/>
              </w:rPr>
              <w:t>Injection of sclerosant; multiple incompetent veins (other than telangiectasia), same leg</w:t>
            </w:r>
          </w:p>
        </w:tc>
      </w:tr>
    </w:tbl>
    <w:p w14:paraId="6B872D36" w14:textId="221D7B6E" w:rsidR="00350F22" w:rsidRDefault="00350F22" w:rsidP="00AF5490"/>
    <w:p w14:paraId="6014EB8C" w14:textId="583537AF" w:rsidR="00FB7F9B" w:rsidRDefault="00FB7F9B" w:rsidP="00AF5490">
      <w:pPr>
        <w:rPr>
          <w:b/>
        </w:rPr>
      </w:pPr>
      <w:r w:rsidRPr="007B6D0D">
        <w:rPr>
          <w:b/>
        </w:rPr>
        <w:t>Codes that do not support medical necessity</w:t>
      </w:r>
    </w:p>
    <w:tbl>
      <w:tblPr>
        <w:tblStyle w:val="TableGrid"/>
        <w:tblW w:w="4772" w:type="pct"/>
        <w:tblLook w:val="0020" w:firstRow="1" w:lastRow="0" w:firstColumn="0" w:lastColumn="0" w:noHBand="0" w:noVBand="0"/>
      </w:tblPr>
      <w:tblGrid>
        <w:gridCol w:w="1108"/>
        <w:gridCol w:w="7816"/>
      </w:tblGrid>
      <w:tr w:rsidR="007B6D0D" w:rsidRPr="00B777AF" w14:paraId="7D224337" w14:textId="77777777" w:rsidTr="00142E57">
        <w:trPr>
          <w:tblHeader/>
        </w:trPr>
        <w:tc>
          <w:tcPr>
            <w:tcW w:w="1138" w:type="dxa"/>
            <w:shd w:val="clear" w:color="auto" w:fill="00548C"/>
          </w:tcPr>
          <w:p w14:paraId="7DB5FD0E" w14:textId="77777777" w:rsidR="007B6D0D" w:rsidRPr="00B777AF" w:rsidRDefault="007B6D0D" w:rsidP="00142E57">
            <w:pPr>
              <w:rPr>
                <w:b/>
                <w:bCs/>
                <w:color w:val="FFFFFF" w:themeColor="background1"/>
              </w:rPr>
            </w:pPr>
            <w:r w:rsidRPr="00B777AF">
              <w:rPr>
                <w:b/>
                <w:color w:val="FFFFFF" w:themeColor="background1"/>
              </w:rPr>
              <w:t>CPT</w:t>
            </w:r>
            <w:r>
              <w:rPr>
                <w:b/>
                <w:color w:val="FFFFFF" w:themeColor="background1"/>
                <w:vertAlign w:val="superscript"/>
              </w:rPr>
              <w:t>®</w:t>
            </w:r>
            <w:r w:rsidRPr="00B777AF">
              <w:rPr>
                <w:b/>
                <w:color w:val="FFFFFF" w:themeColor="background1"/>
              </w:rPr>
              <w:t xml:space="preserve"> Codes </w:t>
            </w:r>
          </w:p>
        </w:tc>
        <w:tc>
          <w:tcPr>
            <w:tcW w:w="8510" w:type="dxa"/>
            <w:shd w:val="clear" w:color="auto" w:fill="00548C"/>
          </w:tcPr>
          <w:p w14:paraId="49B9EF68" w14:textId="77777777" w:rsidR="007B6D0D" w:rsidRPr="00B777AF" w:rsidRDefault="007B6D0D" w:rsidP="00142E57">
            <w:pPr>
              <w:rPr>
                <w:b/>
                <w:bCs/>
                <w:color w:val="FFFFFF" w:themeColor="background1"/>
              </w:rPr>
            </w:pPr>
            <w:r w:rsidRPr="00B777AF">
              <w:rPr>
                <w:b/>
                <w:color w:val="FFFFFF" w:themeColor="background1"/>
              </w:rPr>
              <w:t>Description</w:t>
            </w:r>
          </w:p>
        </w:tc>
      </w:tr>
      <w:tr w:rsidR="007B6D0D" w14:paraId="035A0213" w14:textId="77777777" w:rsidTr="00142E57">
        <w:trPr>
          <w:cantSplit/>
        </w:trPr>
        <w:tc>
          <w:tcPr>
            <w:tcW w:w="1138" w:type="dxa"/>
          </w:tcPr>
          <w:p w14:paraId="26799E67" w14:textId="27D342E0" w:rsidR="007B6D0D" w:rsidRDefault="007B6D0D" w:rsidP="007B6D0D">
            <w:pPr>
              <w:rPr>
                <w:bCs/>
              </w:rPr>
            </w:pPr>
            <w:r>
              <w:rPr>
                <w:bCs/>
              </w:rPr>
              <w:t>36</w:t>
            </w:r>
            <w:r>
              <w:rPr>
                <w:bCs/>
              </w:rPr>
              <w:t>482</w:t>
            </w:r>
          </w:p>
        </w:tc>
        <w:tc>
          <w:tcPr>
            <w:tcW w:w="8510" w:type="dxa"/>
          </w:tcPr>
          <w:p w14:paraId="22BE8DFE" w14:textId="0A9FBD1C" w:rsidR="007B6D0D" w:rsidRDefault="007B6D0D" w:rsidP="00142E57">
            <w:pPr>
              <w:rPr>
                <w:color w:val="000000"/>
              </w:rPr>
            </w:pPr>
            <w:r w:rsidRPr="007B6D0D">
              <w:rPr>
                <w:color w:val="000000"/>
              </w:rPr>
              <w:t>Endovenous ablation therapy of incompetent vein, extremity, by transcatheter delivery of a chemical adhesive (eg, cyanoacrylate) remote from the access site, inclusive of all imaging guidance and monitoring, percutaneous; first vein treated</w:t>
            </w:r>
          </w:p>
        </w:tc>
      </w:tr>
      <w:tr w:rsidR="007B6D0D" w14:paraId="5DA5682B" w14:textId="77777777" w:rsidTr="00142E57">
        <w:trPr>
          <w:cantSplit/>
        </w:trPr>
        <w:tc>
          <w:tcPr>
            <w:tcW w:w="1138" w:type="dxa"/>
          </w:tcPr>
          <w:p w14:paraId="22360067" w14:textId="70A85B52" w:rsidR="007B6D0D" w:rsidRDefault="007B6D0D" w:rsidP="007B6D0D">
            <w:pPr>
              <w:rPr>
                <w:bCs/>
              </w:rPr>
            </w:pPr>
            <w:r>
              <w:rPr>
                <w:bCs/>
              </w:rPr>
              <w:t>36483</w:t>
            </w:r>
          </w:p>
        </w:tc>
        <w:tc>
          <w:tcPr>
            <w:tcW w:w="8510" w:type="dxa"/>
          </w:tcPr>
          <w:p w14:paraId="0CBA2EE3" w14:textId="4D40F3F0" w:rsidR="007B6D0D" w:rsidRPr="007B6D0D" w:rsidRDefault="007B6D0D" w:rsidP="00142E57">
            <w:pPr>
              <w:rPr>
                <w:color w:val="000000"/>
              </w:rPr>
            </w:pPr>
            <w:r w:rsidRPr="007B6D0D">
              <w:rPr>
                <w:color w:val="000000"/>
              </w:rPr>
              <w:t>Endovenous ablation therapy of incompetent vein, extremity, by transcatheter delivery of a chemical adhesive (eg, cyanoacrylate) remote from the access site, inclusive of all imaging guidance and monitoring, percutaneous; subsequent vein(s) treated in a single extremity, each through separate access sites (List separately in addition to code for primary procedure)</w:t>
            </w:r>
          </w:p>
        </w:tc>
      </w:tr>
    </w:tbl>
    <w:p w14:paraId="0CA61383" w14:textId="77777777" w:rsidR="007B6D0D" w:rsidRPr="007B6D0D" w:rsidRDefault="007B6D0D" w:rsidP="00AF5490">
      <w:pPr>
        <w:rPr>
          <w:b/>
        </w:rPr>
      </w:pPr>
    </w:p>
    <w:p w14:paraId="141FAD22" w14:textId="77777777" w:rsidR="00FB7F9B" w:rsidRDefault="00FB7F9B"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0ECC6E1F"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3BDE5146"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5AE0D08E"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7DADC786"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7BAEAC84"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none" w:sz="0" w:space="0" w:color="auto"/>
              <w:left w:val="none" w:sz="0" w:space="0" w:color="auto"/>
              <w:bottom w:val="none" w:sz="0" w:space="0" w:color="auto"/>
              <w:right w:val="none" w:sz="0" w:space="0" w:color="auto"/>
            </w:tcBorders>
          </w:tcPr>
          <w:p w14:paraId="53A95A47" w14:textId="03B0FACA" w:rsidR="00B777AF" w:rsidRDefault="00D75E0F" w:rsidP="008F2A00">
            <w:pPr>
              <w:tabs>
                <w:tab w:val="num" w:pos="720"/>
              </w:tabs>
            </w:pPr>
            <w:r>
              <w:t>New policy</w:t>
            </w:r>
          </w:p>
        </w:tc>
        <w:tc>
          <w:tcPr>
            <w:tcW w:w="810" w:type="dxa"/>
            <w:tcBorders>
              <w:top w:val="none" w:sz="0" w:space="0" w:color="auto"/>
              <w:bottom w:val="none" w:sz="0" w:space="0" w:color="auto"/>
            </w:tcBorders>
          </w:tcPr>
          <w:p w14:paraId="22F9266B" w14:textId="3791CB84" w:rsidR="00B777AF" w:rsidRDefault="00D75E0F" w:rsidP="005776FD">
            <w:pPr>
              <w:jc w:val="center"/>
              <w:cnfStyle w:val="000000100000" w:firstRow="0" w:lastRow="0" w:firstColumn="0" w:lastColumn="0" w:oddVBand="0" w:evenVBand="0" w:oddHBand="1" w:evenHBand="0" w:firstRowFirstColumn="0" w:firstRowLastColumn="0" w:lastRowFirstColumn="0" w:lastRowLastColumn="0"/>
            </w:pPr>
            <w:r>
              <w:t>05/17</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4B439B6E" w14:textId="0B608156" w:rsidR="00B777AF" w:rsidRDefault="00067AB1" w:rsidP="00857C10">
            <w:pPr>
              <w:jc w:val="center"/>
            </w:pPr>
            <w:r>
              <w:t>06/17</w:t>
            </w:r>
          </w:p>
        </w:tc>
      </w:tr>
      <w:tr w:rsidR="00572091" w14:paraId="3E4DF22C"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2DC31089" w14:textId="17A0028B" w:rsidR="00572091" w:rsidRDefault="00572091" w:rsidP="008F2A00">
            <w:pPr>
              <w:tabs>
                <w:tab w:val="num" w:pos="720"/>
              </w:tabs>
            </w:pPr>
            <w:r>
              <w:t>References reviewed and updated.</w:t>
            </w:r>
            <w:r w:rsidR="009A6502">
              <w:t xml:space="preserve">  CPT codes updated.</w:t>
            </w:r>
          </w:p>
        </w:tc>
        <w:tc>
          <w:tcPr>
            <w:tcW w:w="810" w:type="dxa"/>
          </w:tcPr>
          <w:p w14:paraId="2F5E331C" w14:textId="38DC5E03" w:rsidR="00572091" w:rsidRDefault="00572091" w:rsidP="005776FD">
            <w:pPr>
              <w:jc w:val="center"/>
              <w:cnfStyle w:val="000000000000" w:firstRow="0" w:lastRow="0" w:firstColumn="0" w:lastColumn="0" w:oddVBand="0" w:evenVBand="0" w:oddHBand="0" w:evenHBand="0" w:firstRowFirstColumn="0" w:firstRowLastColumn="0" w:lastRowFirstColumn="0" w:lastRowLastColumn="0"/>
            </w:pPr>
            <w:r>
              <w:t>04/18</w:t>
            </w:r>
          </w:p>
        </w:tc>
        <w:tc>
          <w:tcPr>
            <w:cnfStyle w:val="000010000000" w:firstRow="0" w:lastRow="0" w:firstColumn="0" w:lastColumn="0" w:oddVBand="1" w:evenVBand="0" w:oddHBand="0" w:evenHBand="0" w:firstRowFirstColumn="0" w:firstRowLastColumn="0" w:lastRowFirstColumn="0" w:lastRowLastColumn="0"/>
            <w:tcW w:w="1260" w:type="dxa"/>
          </w:tcPr>
          <w:p w14:paraId="4BDB7CC2" w14:textId="20AEE8F9" w:rsidR="00572091" w:rsidRDefault="004F6DC1" w:rsidP="00857C10">
            <w:pPr>
              <w:jc w:val="center"/>
            </w:pPr>
            <w:r>
              <w:t>04/18</w:t>
            </w:r>
          </w:p>
        </w:tc>
      </w:tr>
      <w:tr w:rsidR="0014714F" w14:paraId="58FE8F41"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42470829" w14:textId="10208C60" w:rsidR="0014714F" w:rsidRDefault="003A4ED1" w:rsidP="00E15B6E">
            <w:pPr>
              <w:tabs>
                <w:tab w:val="num" w:pos="720"/>
              </w:tabs>
            </w:pPr>
            <w:r>
              <w:t xml:space="preserve">Updated description to include mention of glue irritants. </w:t>
            </w:r>
            <w:r w:rsidR="0014714F">
              <w:t xml:space="preserve">Added contraindication for previous administration of sclerotherapy and syndrome/congenital abnormalities.  In “I.” added </w:t>
            </w:r>
            <w:r w:rsidR="009001F6">
              <w:t>stipulation that</w:t>
            </w:r>
            <w:r w:rsidR="0014714F">
              <w:t xml:space="preserve"> liquid or foam agents</w:t>
            </w:r>
            <w:r w:rsidR="009001F6">
              <w:t xml:space="preserve"> to be used in sclerotherapy</w:t>
            </w:r>
            <w:r w:rsidR="0014714F">
              <w:t>.</w:t>
            </w:r>
            <w:r w:rsidR="009001F6">
              <w:t xml:space="preserve">  Added statement that cyanoacrylate </w:t>
            </w:r>
            <w:r w:rsidR="00F07E3D">
              <w:t xml:space="preserve">adhesive </w:t>
            </w:r>
            <w:r w:rsidR="009001F6">
              <w:t>is investigational with supporting background information.</w:t>
            </w:r>
            <w:r w:rsidR="0014714F">
              <w:t xml:space="preserve">  </w:t>
            </w:r>
            <w:r w:rsidR="00E15B6E">
              <w:t xml:space="preserve">In I.A.2.d. removed failure of  </w:t>
            </w:r>
            <w:r w:rsidR="00E15B6E" w:rsidRPr="00E15B6E">
              <w:rPr>
                <w:u w:val="single"/>
              </w:rPr>
              <w:t>&gt;</w:t>
            </w:r>
            <w:r w:rsidR="00E15B6E" w:rsidRPr="00E15B6E">
              <w:t>3 weeks prescription dose analgesic medications for pain</w:t>
            </w:r>
            <w:r w:rsidR="00E15B6E">
              <w:t xml:space="preserve"> and added f</w:t>
            </w:r>
            <w:r w:rsidR="00E15B6E" w:rsidRPr="00E15B6E">
              <w:t xml:space="preserve">ailure of  </w:t>
            </w:r>
            <w:r w:rsidR="00E15B6E" w:rsidRPr="00E15B6E">
              <w:rPr>
                <w:u w:val="single"/>
              </w:rPr>
              <w:t>&gt;</w:t>
            </w:r>
            <w:r w:rsidR="00E15B6E" w:rsidRPr="00E15B6E">
              <w:t xml:space="preserve"> 3 months of conservative treatment including compression therapy</w:t>
            </w:r>
            <w:r w:rsidR="00FF0D2A">
              <w:t xml:space="preserve"> unless contraindicated</w:t>
            </w:r>
            <w:r w:rsidR="00E15B6E">
              <w:t>.</w:t>
            </w:r>
          </w:p>
        </w:tc>
        <w:tc>
          <w:tcPr>
            <w:tcW w:w="810" w:type="dxa"/>
          </w:tcPr>
          <w:p w14:paraId="3A10EFCD" w14:textId="0F8A6630" w:rsidR="0014714F" w:rsidRDefault="009001F6" w:rsidP="005776FD">
            <w:pPr>
              <w:jc w:val="center"/>
              <w:cnfStyle w:val="000000100000" w:firstRow="0" w:lastRow="0" w:firstColumn="0" w:lastColumn="0" w:oddVBand="0" w:evenVBand="0" w:oddHBand="1" w:evenHBand="0" w:firstRowFirstColumn="0" w:firstRowLastColumn="0" w:lastRowFirstColumn="0" w:lastRowLastColumn="0"/>
            </w:pPr>
            <w:r>
              <w:t>03/19</w:t>
            </w:r>
          </w:p>
        </w:tc>
        <w:tc>
          <w:tcPr>
            <w:cnfStyle w:val="000010000000" w:firstRow="0" w:lastRow="0" w:firstColumn="0" w:lastColumn="0" w:oddVBand="1" w:evenVBand="0" w:oddHBand="0" w:evenHBand="0" w:firstRowFirstColumn="0" w:firstRowLastColumn="0" w:lastRowFirstColumn="0" w:lastRowLastColumn="0"/>
            <w:tcW w:w="1260" w:type="dxa"/>
          </w:tcPr>
          <w:p w14:paraId="36CC5C52" w14:textId="49E48A44" w:rsidR="0014714F" w:rsidRDefault="00E15B6E" w:rsidP="00FF0D2A">
            <w:r>
              <w:t xml:space="preserve">    04/19</w:t>
            </w:r>
          </w:p>
        </w:tc>
      </w:tr>
      <w:tr w:rsidR="007B6D0D" w14:paraId="552CC340"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5A0B8D5E" w14:textId="529600D9" w:rsidR="007B6D0D" w:rsidRDefault="007B6D0D" w:rsidP="00E15B6E">
            <w:pPr>
              <w:tabs>
                <w:tab w:val="num" w:pos="720"/>
              </w:tabs>
            </w:pPr>
            <w:r>
              <w:t>Added VenaSeal as an example of cyanoacrylate in the investigational statement in section III. Added codes for cyanoacrylate to a new table of codes that do not support medical necessity.</w:t>
            </w:r>
          </w:p>
        </w:tc>
        <w:tc>
          <w:tcPr>
            <w:tcW w:w="810" w:type="dxa"/>
          </w:tcPr>
          <w:p w14:paraId="083B4803" w14:textId="62A49A8B" w:rsidR="007B6D0D" w:rsidRDefault="007B6D0D" w:rsidP="005776FD">
            <w:pPr>
              <w:jc w:val="center"/>
              <w:cnfStyle w:val="000000000000" w:firstRow="0" w:lastRow="0" w:firstColumn="0" w:lastColumn="0" w:oddVBand="0" w:evenVBand="0" w:oddHBand="0" w:evenHBand="0" w:firstRowFirstColumn="0" w:firstRowLastColumn="0" w:lastRowFirstColumn="0" w:lastRowLastColumn="0"/>
            </w:pPr>
            <w:r>
              <w:t>09/19</w:t>
            </w:r>
            <w:bookmarkStart w:id="2" w:name="_GoBack"/>
            <w:bookmarkEnd w:id="2"/>
          </w:p>
        </w:tc>
        <w:tc>
          <w:tcPr>
            <w:cnfStyle w:val="000010000000" w:firstRow="0" w:lastRow="0" w:firstColumn="0" w:lastColumn="0" w:oddVBand="1" w:evenVBand="0" w:oddHBand="0" w:evenHBand="0" w:firstRowFirstColumn="0" w:firstRowLastColumn="0" w:lastRowFirstColumn="0" w:lastRowLastColumn="0"/>
            <w:tcW w:w="1260" w:type="dxa"/>
          </w:tcPr>
          <w:p w14:paraId="65464E0A" w14:textId="77777777" w:rsidR="007B6D0D" w:rsidRDefault="007B6D0D" w:rsidP="00FF0D2A"/>
        </w:tc>
      </w:tr>
    </w:tbl>
    <w:p w14:paraId="771D30D2" w14:textId="77777777" w:rsidR="00B777AF" w:rsidRPr="008A7CED" w:rsidRDefault="00B777AF" w:rsidP="00B777AF">
      <w:pPr>
        <w:pStyle w:val="Heading6"/>
        <w:tabs>
          <w:tab w:val="clear" w:pos="0"/>
        </w:tabs>
        <w:rPr>
          <w:szCs w:val="24"/>
        </w:rPr>
      </w:pPr>
    </w:p>
    <w:p w14:paraId="35E6E5A5" w14:textId="77777777" w:rsidR="00963062" w:rsidRPr="008A7CED" w:rsidRDefault="003F3D44" w:rsidP="00963062">
      <w:pPr>
        <w:pStyle w:val="Heading3"/>
      </w:pPr>
      <w:r w:rsidRPr="008A7CED">
        <w:t>References</w:t>
      </w:r>
    </w:p>
    <w:p w14:paraId="7604C06E" w14:textId="17E63C4D" w:rsidR="00963062" w:rsidRPr="00105559" w:rsidRDefault="00081C01" w:rsidP="007163E2">
      <w:pPr>
        <w:pStyle w:val="ListParagraph"/>
        <w:numPr>
          <w:ilvl w:val="0"/>
          <w:numId w:val="21"/>
        </w:numPr>
        <w:ind w:left="360"/>
      </w:pPr>
      <w:r w:rsidRPr="00105559">
        <w:t xml:space="preserve">Behravesh, Sasan, et al. "Venous malformations: clinical diagnosis and treatment." </w:t>
      </w:r>
      <w:r w:rsidRPr="00105559">
        <w:rPr>
          <w:i/>
          <w:iCs/>
        </w:rPr>
        <w:t>Cardiovascular Diagnosis and Therapy</w:t>
      </w:r>
      <w:r w:rsidRPr="00105559">
        <w:t xml:space="preserve"> 6.6 (2016): 557-569.</w:t>
      </w:r>
    </w:p>
    <w:p w14:paraId="3E30DD35" w14:textId="5B04A698" w:rsidR="00614CBC" w:rsidRPr="00105559" w:rsidRDefault="00614CBC" w:rsidP="00614CBC">
      <w:pPr>
        <w:pStyle w:val="ListParagraph"/>
        <w:numPr>
          <w:ilvl w:val="0"/>
          <w:numId w:val="21"/>
        </w:numPr>
        <w:ind w:left="360"/>
      </w:pPr>
      <w:r w:rsidRPr="00105559">
        <w:rPr>
          <w:lang w:val="en"/>
        </w:rPr>
        <w:t>Alguire PC.  Overview and management of lower extremity chronic venous disease. In: UpToDate, Collins KA (Ed), UpToDate, Waltham</w:t>
      </w:r>
      <w:r w:rsidR="00D75E0F" w:rsidRPr="00105559">
        <w:rPr>
          <w:lang w:val="en"/>
        </w:rPr>
        <w:t xml:space="preserve">, MA. </w:t>
      </w:r>
      <w:r w:rsidR="004C3C85" w:rsidRPr="00105559">
        <w:rPr>
          <w:lang w:val="en"/>
        </w:rPr>
        <w:t xml:space="preserve">Accessed </w:t>
      </w:r>
      <w:r w:rsidR="00F60548" w:rsidRPr="00105559">
        <w:rPr>
          <w:lang w:val="en"/>
        </w:rPr>
        <w:t>3/11/19</w:t>
      </w:r>
      <w:r w:rsidR="004C3C85" w:rsidRPr="00105559">
        <w:rPr>
          <w:lang w:val="en"/>
        </w:rPr>
        <w:t>.</w:t>
      </w:r>
    </w:p>
    <w:p w14:paraId="76A418BB" w14:textId="5C77FB58" w:rsidR="00081C01" w:rsidRPr="00105559" w:rsidRDefault="00081C01" w:rsidP="007163E2">
      <w:pPr>
        <w:pStyle w:val="ListParagraph"/>
        <w:numPr>
          <w:ilvl w:val="0"/>
          <w:numId w:val="21"/>
        </w:numPr>
        <w:ind w:left="360"/>
      </w:pPr>
      <w:r w:rsidRPr="00105559">
        <w:rPr>
          <w:lang w:val="en"/>
        </w:rPr>
        <w:t>Scovell, S.  Liquid, foam, and glue sclerotherapy techniques for the treatment of lower extremity veins.   In: UpToDate, Collins, KA (Ed), UpToDate, Waltham</w:t>
      </w:r>
      <w:r w:rsidR="00D75E0F" w:rsidRPr="00105559">
        <w:rPr>
          <w:lang w:val="en"/>
        </w:rPr>
        <w:t>, MA.</w:t>
      </w:r>
      <w:r w:rsidR="00363B84" w:rsidRPr="00105559">
        <w:rPr>
          <w:lang w:val="en"/>
        </w:rPr>
        <w:t xml:space="preserve"> Accessed </w:t>
      </w:r>
      <w:r w:rsidR="007A42FA" w:rsidRPr="00105559">
        <w:rPr>
          <w:lang w:val="en"/>
        </w:rPr>
        <w:t>3/11/19</w:t>
      </w:r>
      <w:r w:rsidR="00363B84" w:rsidRPr="00105559">
        <w:rPr>
          <w:lang w:val="en"/>
        </w:rPr>
        <w:t>.</w:t>
      </w:r>
    </w:p>
    <w:p w14:paraId="709A573E" w14:textId="47CA28B8" w:rsidR="002E2E86" w:rsidRPr="00105559" w:rsidRDefault="003A4ED1" w:rsidP="00105559">
      <w:pPr>
        <w:pStyle w:val="ListParagraph"/>
        <w:numPr>
          <w:ilvl w:val="0"/>
          <w:numId w:val="21"/>
        </w:numPr>
        <w:shd w:val="clear" w:color="auto" w:fill="FFFFFF"/>
        <w:ind w:left="360"/>
      </w:pPr>
      <w:r w:rsidRPr="00105559">
        <w:t xml:space="preserve">Gloviczki P, et al; </w:t>
      </w:r>
      <w:r w:rsidR="002E2E86" w:rsidRPr="00105559">
        <w:t>The care of patients with varicose veins and associated chronic venous diseases: Clinical practice guidelines of the Society for Vascular Surgery and the American Venous Forum; J Vasc Surg 2011;53:2S-48SJose I. Almeida, MD, et al. Use of the Clinical, Etiologic, Anatomic, and Pathophysiologic classification and Venous Clinical Severity Score to establish a treatment plan for chronic venous disorders. J Vasc Surg: Venous and Lym Dis 2015;3:456-60.</w:t>
      </w:r>
      <w:r w:rsidR="00487102" w:rsidRPr="00105559">
        <w:t xml:space="preserve">  Accessed 3/12/19</w:t>
      </w:r>
    </w:p>
    <w:p w14:paraId="7BE97460" w14:textId="5AF3DBFF" w:rsidR="00511118" w:rsidRPr="00105559" w:rsidRDefault="00A228B6" w:rsidP="00105559">
      <w:pPr>
        <w:pStyle w:val="ListParagraph"/>
        <w:numPr>
          <w:ilvl w:val="0"/>
          <w:numId w:val="21"/>
        </w:numPr>
        <w:shd w:val="clear" w:color="auto" w:fill="FFFFFF"/>
        <w:ind w:left="360"/>
      </w:pPr>
      <w:r w:rsidRPr="00105559">
        <w:t>Weiss, Margaret A., et al. "Consensus for sclerotherapy." Dermatologic Surgery 40.12 (2014): 1309-1318</w:t>
      </w:r>
      <w:r w:rsidR="00D75E0F" w:rsidRPr="00105559">
        <w:t>.</w:t>
      </w:r>
      <w:r w:rsidR="00511118" w:rsidRPr="00105559">
        <w:t xml:space="preserve">  Accessed 3/13/2019</w:t>
      </w:r>
    </w:p>
    <w:p w14:paraId="443CBDFC" w14:textId="77777777" w:rsidR="00BF3DD6" w:rsidRPr="00105559" w:rsidRDefault="00FD1126" w:rsidP="00105559">
      <w:pPr>
        <w:pStyle w:val="ListParagraph"/>
        <w:numPr>
          <w:ilvl w:val="0"/>
          <w:numId w:val="21"/>
        </w:numPr>
        <w:shd w:val="clear" w:color="auto" w:fill="FFFFFF"/>
        <w:ind w:left="360"/>
      </w:pPr>
      <w:r w:rsidRPr="00105559">
        <w:t>Tisi PV, Beverley C, Rees A. Injection sclerotherapy for varicose veins. Cochrane Database Syst Rev 2006:CD001732.</w:t>
      </w:r>
      <w:r w:rsidR="00511118" w:rsidRPr="00105559">
        <w:t xml:space="preserve">  Accessed 3/13/2019</w:t>
      </w:r>
    </w:p>
    <w:p w14:paraId="53AFBECD" w14:textId="10DC5317" w:rsidR="00BF3DD6" w:rsidRPr="00105559" w:rsidRDefault="00BF3DD6" w:rsidP="00105559">
      <w:pPr>
        <w:pStyle w:val="ListParagraph"/>
        <w:numPr>
          <w:ilvl w:val="0"/>
          <w:numId w:val="21"/>
        </w:numPr>
        <w:shd w:val="clear" w:color="auto" w:fill="FFFFFF"/>
        <w:ind w:left="360"/>
      </w:pPr>
      <w:r w:rsidRPr="00105559">
        <w:rPr>
          <w:color w:val="323232"/>
          <w:lang w:val="en"/>
        </w:rPr>
        <w:t>Koramaz, MD, Ismail, et</w:t>
      </w:r>
      <w:r w:rsidR="007A267A" w:rsidRPr="00105559">
        <w:rPr>
          <w:color w:val="323232"/>
          <w:lang w:val="en"/>
        </w:rPr>
        <w:t xml:space="preserve"> </w:t>
      </w:r>
      <w:r w:rsidRPr="00105559">
        <w:rPr>
          <w:color w:val="323232"/>
          <w:lang w:val="en"/>
        </w:rPr>
        <w:t>al.  Ablation of the great saphenous vein with nontumescent</w:t>
      </w:r>
    </w:p>
    <w:p w14:paraId="2BBABA1E" w14:textId="6199D1B8" w:rsidR="00BF3DD6" w:rsidRPr="00105559" w:rsidRDefault="00BF3DD6" w:rsidP="00105559">
      <w:pPr>
        <w:shd w:val="clear" w:color="auto" w:fill="FFFFFF"/>
        <w:ind w:left="360"/>
        <w:rPr>
          <w:color w:val="323232"/>
          <w:lang w:val="en"/>
        </w:rPr>
      </w:pPr>
      <w:r w:rsidRPr="00105559">
        <w:rPr>
          <w:color w:val="323232"/>
          <w:lang w:val="en"/>
        </w:rPr>
        <w:t>n-butyl cyanoacrylate versus endovenous laser therapy.  Journal of Vascular Surgery:  Venous and Lymphatic Disorders, Volume 5.  Number 2</w:t>
      </w:r>
      <w:r w:rsidR="00E06044" w:rsidRPr="00105559">
        <w:rPr>
          <w:color w:val="323232"/>
          <w:lang w:val="en"/>
        </w:rPr>
        <w:t>.</w:t>
      </w:r>
    </w:p>
    <w:p w14:paraId="12B503CD" w14:textId="0A37CB0A" w:rsidR="00E06044" w:rsidRPr="00105559" w:rsidRDefault="00E06044" w:rsidP="00105559">
      <w:pPr>
        <w:pStyle w:val="ListParagraph"/>
        <w:numPr>
          <w:ilvl w:val="0"/>
          <w:numId w:val="21"/>
        </w:numPr>
        <w:shd w:val="clear" w:color="auto" w:fill="FFFFFF"/>
        <w:ind w:left="360"/>
        <w:rPr>
          <w:color w:val="323232"/>
          <w:lang w:val="en"/>
        </w:rPr>
      </w:pPr>
      <w:r w:rsidRPr="00105559">
        <w:rPr>
          <w:color w:val="323232"/>
          <w:lang w:val="en"/>
        </w:rPr>
        <w:t>Kaygin MA, Halici U. Evaluation of liquid or foam sclerotherapy in small varicose veins (ceap c1) with venous clinical severity score. Revista Da Associacao Medica Brasileira (1992). 2018;64(12):1117-1121. doi:10.1590/1806-9282.64.12.1117.</w:t>
      </w:r>
    </w:p>
    <w:p w14:paraId="1974FF73" w14:textId="5DEBABA9" w:rsidR="007A267A" w:rsidRPr="00FF0D2A" w:rsidRDefault="007A267A" w:rsidP="00105559">
      <w:pPr>
        <w:pStyle w:val="ListParagraph"/>
        <w:numPr>
          <w:ilvl w:val="0"/>
          <w:numId w:val="21"/>
        </w:numPr>
        <w:shd w:val="clear" w:color="auto" w:fill="FFFFFF"/>
        <w:ind w:left="360"/>
        <w:rPr>
          <w:color w:val="323232"/>
          <w:lang w:val="en"/>
        </w:rPr>
      </w:pPr>
      <w:r w:rsidRPr="00105559">
        <w:rPr>
          <w:lang w:val="en"/>
        </w:rPr>
        <w:t>Koramaz İ, El Kılıç H, Gökalp F, et al</w:t>
      </w:r>
      <w:r w:rsidRPr="00BF5493">
        <w:rPr>
          <w:lang w:val="en"/>
        </w:rPr>
        <w:t xml:space="preserve">.  </w:t>
      </w:r>
      <w:hyperlink r:id="rId15" w:history="1">
        <w:r w:rsidRPr="00BF5493">
          <w:rPr>
            <w:lang w:val="en"/>
          </w:rPr>
          <w:t xml:space="preserve">Ablation of the great saphenous vein with nontumescent n-butyl </w:t>
        </w:r>
        <w:r w:rsidRPr="00BF5493">
          <w:rPr>
            <w:bCs/>
            <w:lang w:val="en"/>
          </w:rPr>
          <w:t>cyanoacrylate</w:t>
        </w:r>
        <w:r w:rsidRPr="00BF5493">
          <w:rPr>
            <w:lang w:val="en"/>
          </w:rPr>
          <w:t xml:space="preserve"> versus endovenous laser therapy.</w:t>
        </w:r>
      </w:hyperlink>
      <w:r w:rsidRPr="00105559">
        <w:rPr>
          <w:lang w:val="en"/>
        </w:rPr>
        <w:t xml:space="preserve">  </w:t>
      </w:r>
      <w:r w:rsidRPr="00105559">
        <w:rPr>
          <w:rStyle w:val="jrnl"/>
          <w:lang w:val="en"/>
        </w:rPr>
        <w:t>J Vasc Surg Venous Lymphat Disord</w:t>
      </w:r>
      <w:r w:rsidRPr="00105559">
        <w:rPr>
          <w:lang w:val="en"/>
        </w:rPr>
        <w:t>. 2017 Mar;5(2):210-215. doi: 10.1016/j.jvsv.2016.09.007</w:t>
      </w:r>
      <w:r w:rsidR="00FF0D2A">
        <w:rPr>
          <w:lang w:val="en"/>
        </w:rPr>
        <w:t>.</w:t>
      </w:r>
    </w:p>
    <w:p w14:paraId="35256C4E" w14:textId="6FDAACEF" w:rsidR="00FF0D2A" w:rsidRPr="00105559" w:rsidRDefault="00FF0D2A" w:rsidP="00105559">
      <w:pPr>
        <w:pStyle w:val="ListParagraph"/>
        <w:numPr>
          <w:ilvl w:val="0"/>
          <w:numId w:val="21"/>
        </w:numPr>
        <w:shd w:val="clear" w:color="auto" w:fill="FFFFFF"/>
        <w:ind w:left="360"/>
        <w:rPr>
          <w:color w:val="323232"/>
          <w:lang w:val="en"/>
        </w:rPr>
      </w:pPr>
      <w:r>
        <w:t xml:space="preserve">Lim CS, Davies AH. Graduated compression stockings. </w:t>
      </w:r>
      <w:r>
        <w:rPr>
          <w:i/>
          <w:iCs/>
        </w:rPr>
        <w:t>CMAJ</w:t>
      </w:r>
      <w:r>
        <w:t>. 2014;186(10):E391–E398. doi:10.1503/cmaj.131281.</w:t>
      </w:r>
    </w:p>
    <w:p w14:paraId="2F8F27BF" w14:textId="77777777" w:rsidR="001148A8" w:rsidRPr="00963062" w:rsidRDefault="001148A8" w:rsidP="00963062"/>
    <w:p w14:paraId="21F4A294" w14:textId="77777777" w:rsidR="00DD6ADB" w:rsidRPr="00146C6E" w:rsidRDefault="00C06257" w:rsidP="00146C6E">
      <w:pPr>
        <w:rPr>
          <w:rFonts w:eastAsiaTheme="minorHAnsi"/>
          <w:b/>
          <w:u w:val="single"/>
        </w:rPr>
      </w:pPr>
      <w:bookmarkStart w:id="3" w:name="Important_Reminder"/>
      <w:r w:rsidRPr="00146C6E">
        <w:rPr>
          <w:rFonts w:eastAsiaTheme="minorHAnsi"/>
          <w:b/>
          <w:bCs/>
          <w:u w:val="single"/>
        </w:rPr>
        <w:t>Important R</w:t>
      </w:r>
      <w:r w:rsidR="005D7B81" w:rsidRPr="00146C6E">
        <w:rPr>
          <w:rFonts w:eastAsiaTheme="minorHAnsi"/>
          <w:b/>
          <w:bCs/>
          <w:u w:val="single"/>
        </w:rPr>
        <w:t>eminder</w:t>
      </w:r>
      <w:bookmarkEnd w:id="3"/>
    </w:p>
    <w:p w14:paraId="410DD996" w14:textId="77777777" w:rsidR="00DD6ADB" w:rsidRPr="00146C6E" w:rsidRDefault="00DD6ADB" w:rsidP="00146C6E">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4B6136D1" w14:textId="77777777" w:rsidR="00DD6ADB" w:rsidRPr="00146C6E" w:rsidRDefault="00DD6ADB" w:rsidP="00146C6E">
      <w:pPr>
        <w:rPr>
          <w:rFonts w:eastAsiaTheme="minorHAnsi"/>
        </w:rPr>
      </w:pPr>
    </w:p>
    <w:p w14:paraId="6B80DC45" w14:textId="77777777" w:rsidR="00DD6ADB" w:rsidRPr="00146C6E" w:rsidRDefault="00DD6ADB" w:rsidP="00146C6E">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w:t>
      </w:r>
      <w:r w:rsidRPr="00146C6E">
        <w:rPr>
          <w:rFonts w:eastAsiaTheme="minorHAnsi"/>
        </w:rPr>
        <w:lastRenderedPageBreak/>
        <w:t xml:space="preserve">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498F35EE" w14:textId="77777777" w:rsidR="00DD6ADB" w:rsidRPr="00146C6E" w:rsidRDefault="00DD6ADB" w:rsidP="00146C6E">
      <w:pPr>
        <w:rPr>
          <w:rFonts w:eastAsiaTheme="minorHAnsi"/>
        </w:rPr>
      </w:pPr>
    </w:p>
    <w:p w14:paraId="1614D6D6" w14:textId="77777777" w:rsidR="00DD6ADB" w:rsidRPr="00146C6E" w:rsidRDefault="00DD6ADB" w:rsidP="00146C6E">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38828E62" w14:textId="77777777" w:rsidR="00DD6ADB" w:rsidRPr="00146C6E" w:rsidRDefault="00DD6ADB" w:rsidP="00146C6E">
      <w:pPr>
        <w:rPr>
          <w:rFonts w:eastAsiaTheme="minorHAnsi"/>
        </w:rPr>
      </w:pPr>
    </w:p>
    <w:p w14:paraId="039D19C0" w14:textId="77777777" w:rsidR="00DD6ADB" w:rsidRPr="00146C6E" w:rsidRDefault="00DD6ADB" w:rsidP="00146C6E">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3CF18D8D" w14:textId="77777777" w:rsidR="00DD6ADB" w:rsidRPr="00146C6E" w:rsidRDefault="00DD6ADB" w:rsidP="00146C6E">
      <w:pPr>
        <w:rPr>
          <w:rFonts w:eastAsiaTheme="minorHAnsi"/>
        </w:rPr>
      </w:pPr>
    </w:p>
    <w:p w14:paraId="19D039E9" w14:textId="77777777"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644A5165" w14:textId="77777777" w:rsidR="00DD6ADB" w:rsidRPr="00146C6E" w:rsidRDefault="00DD6ADB" w:rsidP="00146C6E">
      <w:pPr>
        <w:rPr>
          <w:rFonts w:eastAsiaTheme="minorHAnsi"/>
        </w:rPr>
      </w:pPr>
    </w:p>
    <w:p w14:paraId="122180E9" w14:textId="77777777"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A5B2FBB" w14:textId="77777777" w:rsidR="00DD6ADB" w:rsidRPr="00146C6E" w:rsidRDefault="00DD6ADB" w:rsidP="00146C6E">
      <w:pPr>
        <w:autoSpaceDE w:val="0"/>
        <w:autoSpaceDN w:val="0"/>
        <w:adjustRightInd w:val="0"/>
        <w:rPr>
          <w:rFonts w:eastAsiaTheme="minorHAnsi"/>
          <w:color w:val="000000"/>
        </w:rPr>
      </w:pPr>
    </w:p>
    <w:p w14:paraId="0742DE8C"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B604A85" w14:textId="77777777" w:rsidR="00DD6ADB" w:rsidRPr="00146C6E" w:rsidRDefault="00DD6ADB" w:rsidP="00146C6E">
      <w:pPr>
        <w:rPr>
          <w:rFonts w:eastAsiaTheme="minorHAnsi"/>
        </w:rPr>
      </w:pPr>
    </w:p>
    <w:p w14:paraId="2817A9DC" w14:textId="18D93470"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6"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2EDC12B9" w14:textId="77777777" w:rsidR="00875924" w:rsidRPr="00146C6E" w:rsidRDefault="00875924" w:rsidP="00146C6E">
      <w:pPr>
        <w:rPr>
          <w:iCs/>
        </w:rPr>
      </w:pPr>
    </w:p>
    <w:p w14:paraId="4BC706B8" w14:textId="05BC2A7E" w:rsidR="00C75BD4" w:rsidRPr="00146C6E" w:rsidRDefault="00C75BD4" w:rsidP="00146C6E">
      <w:pPr>
        <w:rPr>
          <w:iCs/>
        </w:rPr>
      </w:pPr>
      <w:r w:rsidRPr="00146C6E">
        <w:rPr>
          <w:iCs/>
        </w:rPr>
        <w:t>©201</w:t>
      </w:r>
      <w:r w:rsidR="00D75E0F">
        <w:rPr>
          <w:iCs/>
        </w:rPr>
        <w:t>7</w:t>
      </w:r>
      <w:r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w:t>
      </w:r>
      <w:r w:rsidRPr="00146C6E">
        <w:rPr>
          <w:iCs/>
        </w:rPr>
        <w:lastRenderedPageBreak/>
        <w:t>published without the prior written permission of Centene Corporation. You may not alter or remove any trademark, copyright or other notice contained herein. Centene</w:t>
      </w:r>
      <w:r w:rsidRPr="00146C6E">
        <w:rPr>
          <w:iCs/>
          <w:vertAlign w:val="superscript"/>
        </w:rPr>
        <w:t>®</w:t>
      </w:r>
      <w:r w:rsidRPr="00146C6E">
        <w:rPr>
          <w:iCs/>
        </w:rPr>
        <w:t xml:space="preserve"> and Centene Corporation</w:t>
      </w:r>
      <w:r w:rsidRPr="00146C6E">
        <w:rPr>
          <w:iCs/>
          <w:vertAlign w:val="superscript"/>
        </w:rPr>
        <w:t>®</w:t>
      </w:r>
      <w:r w:rsidRPr="00146C6E">
        <w:rPr>
          <w:iCs/>
        </w:rPr>
        <w:t xml:space="preserve"> are registered trademarks exclusively owned by Centene Corporation.</w:t>
      </w:r>
    </w:p>
    <w:p w14:paraId="2D598D92" w14:textId="77777777" w:rsidR="00C75BD4" w:rsidRDefault="00C75BD4" w:rsidP="00AF5490"/>
    <w:sectPr w:rsidR="00C75BD4"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9453" w14:textId="77777777" w:rsidR="004174FA" w:rsidRDefault="004174FA">
      <w:r>
        <w:separator/>
      </w:r>
    </w:p>
  </w:endnote>
  <w:endnote w:type="continuationSeparator" w:id="0">
    <w:p w14:paraId="7CEC03DF" w14:textId="77777777" w:rsidR="004174FA" w:rsidRDefault="0041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21002A87" w:usb1="090F0000" w:usb2="00000010"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F90C" w14:textId="7C33DCBC"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7B6D0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B6D0D">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34C2" w14:textId="17752632" w:rsidR="002C6AAB" w:rsidRDefault="002C6AAB" w:rsidP="002C6AAB">
    <w:pPr>
      <w:pStyle w:val="Footer"/>
      <w:jc w:val="center"/>
    </w:pPr>
    <w:r>
      <w:t xml:space="preserve">Page </w:t>
    </w:r>
    <w:r>
      <w:fldChar w:fldCharType="begin"/>
    </w:r>
    <w:r>
      <w:instrText xml:space="preserve"> PAGE   \* MERGEFORMAT </w:instrText>
    </w:r>
    <w:r>
      <w:fldChar w:fldCharType="separate"/>
    </w:r>
    <w:r w:rsidR="007B6D0D">
      <w:rPr>
        <w:noProof/>
      </w:rPr>
      <w:t>1</w:t>
    </w:r>
    <w:r>
      <w:fldChar w:fldCharType="end"/>
    </w:r>
    <w:r>
      <w:t xml:space="preserve"> of </w:t>
    </w:r>
    <w:r w:rsidR="00A30452">
      <w:rPr>
        <w:noProof/>
      </w:rPr>
      <w:fldChar w:fldCharType="begin"/>
    </w:r>
    <w:r w:rsidR="00A30452">
      <w:rPr>
        <w:noProof/>
      </w:rPr>
      <w:instrText xml:space="preserve"> NUMPAGES   \* MERGEFORMAT </w:instrText>
    </w:r>
    <w:r w:rsidR="00A30452">
      <w:rPr>
        <w:noProof/>
      </w:rPr>
      <w:fldChar w:fldCharType="separate"/>
    </w:r>
    <w:r w:rsidR="007B6D0D">
      <w:rPr>
        <w:noProof/>
      </w:rPr>
      <w:t>6</w:t>
    </w:r>
    <w:r w:rsidR="00A304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C9C9" w14:textId="77777777" w:rsidR="004174FA" w:rsidRDefault="004174FA">
      <w:r>
        <w:separator/>
      </w:r>
    </w:p>
  </w:footnote>
  <w:footnote w:type="continuationSeparator" w:id="0">
    <w:p w14:paraId="7EB53338" w14:textId="77777777" w:rsidR="004174FA" w:rsidRDefault="0041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A89E" w14:textId="77777777" w:rsidR="00D574CA" w:rsidRPr="00B777AF" w:rsidRDefault="00D574CA"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00B777AF" w:rsidRPr="00B777AF">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A20F73">
      <w:rPr>
        <w:noProof/>
        <w:color w:val="00548C"/>
      </w:rPr>
      <w:drawing>
        <wp:inline distT="0" distB="0" distL="0" distR="0" wp14:anchorId="72BFE99E" wp14:editId="47725500">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7FCD9335" w14:textId="07486EF5" w:rsidR="00DD025A" w:rsidRPr="00B777AF" w:rsidRDefault="008B79DD" w:rsidP="00B777AF">
    <w:pPr>
      <w:rPr>
        <w:color w:val="00548C"/>
      </w:rPr>
    </w:pPr>
    <w:r>
      <w:rPr>
        <w:rFonts w:ascii="Times New Roman Bold" w:hAnsi="Times New Roman Bold"/>
        <w:b/>
        <w:bCs/>
        <w:color w:val="00548C"/>
      </w:rPr>
      <w:t>Sclerotherapy for Varicose Veins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AF2" w14:textId="77777777" w:rsidR="009135E0" w:rsidRDefault="00A20F73" w:rsidP="00B777AF">
    <w:pPr>
      <w:pStyle w:val="Header"/>
      <w:jc w:val="right"/>
    </w:pPr>
    <w:r>
      <w:rPr>
        <w:noProof/>
      </w:rPr>
      <w:drawing>
        <wp:inline distT="0" distB="0" distL="0" distR="0" wp14:anchorId="0833AB8F" wp14:editId="41493629">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91EF1"/>
    <w:multiLevelType w:val="multilevel"/>
    <w:tmpl w:val="85D0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03234"/>
    <w:multiLevelType w:val="multilevel"/>
    <w:tmpl w:val="817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781736"/>
    <w:multiLevelType w:val="hybridMultilevel"/>
    <w:tmpl w:val="3E14FBB2"/>
    <w:lvl w:ilvl="0" w:tplc="56CC320A">
      <w:start w:val="1"/>
      <w:numFmt w:val="upp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E3D0A"/>
    <w:multiLevelType w:val="hybridMultilevel"/>
    <w:tmpl w:val="6CF4423A"/>
    <w:lvl w:ilvl="0" w:tplc="6BAC0802">
      <w:start w:val="1"/>
      <w:numFmt w:val="upperRoman"/>
      <w:lvlText w:val="%1."/>
      <w:lvlJc w:val="left"/>
      <w:pPr>
        <w:ind w:left="45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8"/>
  </w:num>
  <w:num w:numId="4">
    <w:abstractNumId w:val="11"/>
  </w:num>
  <w:num w:numId="5">
    <w:abstractNumId w:val="12"/>
  </w:num>
  <w:num w:numId="6">
    <w:abstractNumId w:val="18"/>
  </w:num>
  <w:num w:numId="7">
    <w:abstractNumId w:val="19"/>
  </w:num>
  <w:num w:numId="8">
    <w:abstractNumId w:val="2"/>
  </w:num>
  <w:num w:numId="9">
    <w:abstractNumId w:val="15"/>
  </w:num>
  <w:num w:numId="10">
    <w:abstractNumId w:val="6"/>
  </w:num>
  <w:num w:numId="11">
    <w:abstractNumId w:val="22"/>
  </w:num>
  <w:num w:numId="12">
    <w:abstractNumId w:val="10"/>
  </w:num>
  <w:num w:numId="13">
    <w:abstractNumId w:val="9"/>
  </w:num>
  <w:num w:numId="14">
    <w:abstractNumId w:val="4"/>
  </w:num>
  <w:num w:numId="15">
    <w:abstractNumId w:val="7"/>
  </w:num>
  <w:num w:numId="16">
    <w:abstractNumId w:val="20"/>
  </w:num>
  <w:num w:numId="17">
    <w:abstractNumId w:val="16"/>
  </w:num>
  <w:num w:numId="18">
    <w:abstractNumId w:val="13"/>
  </w:num>
  <w:num w:numId="19">
    <w:abstractNumId w:val="5"/>
  </w:num>
  <w:num w:numId="20">
    <w:abstractNumId w:val="3"/>
  </w:num>
  <w:num w:numId="21">
    <w:abstractNumId w:val="17"/>
  </w:num>
  <w:num w:numId="22">
    <w:abstractNumId w:val="2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00C5"/>
    <w:rsid w:val="00032D3F"/>
    <w:rsid w:val="0003571C"/>
    <w:rsid w:val="000465DE"/>
    <w:rsid w:val="0004733E"/>
    <w:rsid w:val="00053C97"/>
    <w:rsid w:val="00060509"/>
    <w:rsid w:val="00062539"/>
    <w:rsid w:val="00067AB1"/>
    <w:rsid w:val="0007523A"/>
    <w:rsid w:val="00081C01"/>
    <w:rsid w:val="00081F1D"/>
    <w:rsid w:val="00083740"/>
    <w:rsid w:val="00084D10"/>
    <w:rsid w:val="000850F2"/>
    <w:rsid w:val="00094136"/>
    <w:rsid w:val="000F10C2"/>
    <w:rsid w:val="000F3DFD"/>
    <w:rsid w:val="00105559"/>
    <w:rsid w:val="001148A8"/>
    <w:rsid w:val="00126BD0"/>
    <w:rsid w:val="00140C03"/>
    <w:rsid w:val="0014316D"/>
    <w:rsid w:val="00146C6E"/>
    <w:rsid w:val="0014714F"/>
    <w:rsid w:val="001703C9"/>
    <w:rsid w:val="00170B14"/>
    <w:rsid w:val="00173D73"/>
    <w:rsid w:val="001818D7"/>
    <w:rsid w:val="00185104"/>
    <w:rsid w:val="001962BE"/>
    <w:rsid w:val="00196689"/>
    <w:rsid w:val="00196935"/>
    <w:rsid w:val="0019746F"/>
    <w:rsid w:val="001C2BF7"/>
    <w:rsid w:val="001D0D34"/>
    <w:rsid w:val="001D70D4"/>
    <w:rsid w:val="001E7D12"/>
    <w:rsid w:val="0020675F"/>
    <w:rsid w:val="00220736"/>
    <w:rsid w:val="002279A4"/>
    <w:rsid w:val="00230FE4"/>
    <w:rsid w:val="00233651"/>
    <w:rsid w:val="00237536"/>
    <w:rsid w:val="00254020"/>
    <w:rsid w:val="0025452A"/>
    <w:rsid w:val="00285997"/>
    <w:rsid w:val="002A39EE"/>
    <w:rsid w:val="002A53B9"/>
    <w:rsid w:val="002A581A"/>
    <w:rsid w:val="002B0582"/>
    <w:rsid w:val="002C6AAB"/>
    <w:rsid w:val="002D019A"/>
    <w:rsid w:val="002E2E86"/>
    <w:rsid w:val="002E48E7"/>
    <w:rsid w:val="002E5306"/>
    <w:rsid w:val="002F505F"/>
    <w:rsid w:val="003140D6"/>
    <w:rsid w:val="003210FF"/>
    <w:rsid w:val="00325062"/>
    <w:rsid w:val="00336E37"/>
    <w:rsid w:val="00350F22"/>
    <w:rsid w:val="00363B84"/>
    <w:rsid w:val="003840CC"/>
    <w:rsid w:val="00391332"/>
    <w:rsid w:val="003A4ED1"/>
    <w:rsid w:val="003D725B"/>
    <w:rsid w:val="003D7B1F"/>
    <w:rsid w:val="003D7BE7"/>
    <w:rsid w:val="003F3D44"/>
    <w:rsid w:val="004174FA"/>
    <w:rsid w:val="00433329"/>
    <w:rsid w:val="00443C81"/>
    <w:rsid w:val="00465298"/>
    <w:rsid w:val="00472C6C"/>
    <w:rsid w:val="0047700E"/>
    <w:rsid w:val="00480C09"/>
    <w:rsid w:val="00487102"/>
    <w:rsid w:val="00491F18"/>
    <w:rsid w:val="00493710"/>
    <w:rsid w:val="00496BCF"/>
    <w:rsid w:val="00497AED"/>
    <w:rsid w:val="004A6B44"/>
    <w:rsid w:val="004C3C85"/>
    <w:rsid w:val="004C44E0"/>
    <w:rsid w:val="004E0B99"/>
    <w:rsid w:val="004F6394"/>
    <w:rsid w:val="004F6DC1"/>
    <w:rsid w:val="00505830"/>
    <w:rsid w:val="005103B8"/>
    <w:rsid w:val="00511118"/>
    <w:rsid w:val="00513BE3"/>
    <w:rsid w:val="00513F15"/>
    <w:rsid w:val="005335CD"/>
    <w:rsid w:val="005423D4"/>
    <w:rsid w:val="005537B0"/>
    <w:rsid w:val="00570C82"/>
    <w:rsid w:val="00572091"/>
    <w:rsid w:val="005776FD"/>
    <w:rsid w:val="00583376"/>
    <w:rsid w:val="005C17DF"/>
    <w:rsid w:val="005C2D28"/>
    <w:rsid w:val="005C3607"/>
    <w:rsid w:val="005D009F"/>
    <w:rsid w:val="005D5146"/>
    <w:rsid w:val="005D7B81"/>
    <w:rsid w:val="005E411E"/>
    <w:rsid w:val="005F051C"/>
    <w:rsid w:val="005F1A37"/>
    <w:rsid w:val="00614CBC"/>
    <w:rsid w:val="00621585"/>
    <w:rsid w:val="00641C46"/>
    <w:rsid w:val="00643A9E"/>
    <w:rsid w:val="006474BB"/>
    <w:rsid w:val="006664E9"/>
    <w:rsid w:val="006C74DF"/>
    <w:rsid w:val="006F4D70"/>
    <w:rsid w:val="007163E2"/>
    <w:rsid w:val="0073785D"/>
    <w:rsid w:val="00744250"/>
    <w:rsid w:val="007764CE"/>
    <w:rsid w:val="007A0BCC"/>
    <w:rsid w:val="007A267A"/>
    <w:rsid w:val="007A42FA"/>
    <w:rsid w:val="007B07AE"/>
    <w:rsid w:val="007B50D0"/>
    <w:rsid w:val="007B6D0D"/>
    <w:rsid w:val="007D4801"/>
    <w:rsid w:val="007E14DF"/>
    <w:rsid w:val="007F1F19"/>
    <w:rsid w:val="00820E67"/>
    <w:rsid w:val="0084600B"/>
    <w:rsid w:val="00857C10"/>
    <w:rsid w:val="008729E0"/>
    <w:rsid w:val="00875924"/>
    <w:rsid w:val="00877EC7"/>
    <w:rsid w:val="00896E94"/>
    <w:rsid w:val="008A7CED"/>
    <w:rsid w:val="008B0705"/>
    <w:rsid w:val="008B79DD"/>
    <w:rsid w:val="008C6B3A"/>
    <w:rsid w:val="008C71B0"/>
    <w:rsid w:val="008E5EAC"/>
    <w:rsid w:val="009001F6"/>
    <w:rsid w:val="00902C9B"/>
    <w:rsid w:val="009135E0"/>
    <w:rsid w:val="00915CA4"/>
    <w:rsid w:val="00950820"/>
    <w:rsid w:val="00961071"/>
    <w:rsid w:val="00963062"/>
    <w:rsid w:val="0097049E"/>
    <w:rsid w:val="009735FA"/>
    <w:rsid w:val="00977ECA"/>
    <w:rsid w:val="00982180"/>
    <w:rsid w:val="009928B2"/>
    <w:rsid w:val="009A6502"/>
    <w:rsid w:val="009B78E0"/>
    <w:rsid w:val="009C4FE8"/>
    <w:rsid w:val="009C61B2"/>
    <w:rsid w:val="009D5928"/>
    <w:rsid w:val="009E6F29"/>
    <w:rsid w:val="00A10B1B"/>
    <w:rsid w:val="00A20F73"/>
    <w:rsid w:val="00A228B6"/>
    <w:rsid w:val="00A30452"/>
    <w:rsid w:val="00A36297"/>
    <w:rsid w:val="00A405E0"/>
    <w:rsid w:val="00A41969"/>
    <w:rsid w:val="00A60413"/>
    <w:rsid w:val="00A76124"/>
    <w:rsid w:val="00A83658"/>
    <w:rsid w:val="00A85489"/>
    <w:rsid w:val="00A87B1F"/>
    <w:rsid w:val="00AA0A75"/>
    <w:rsid w:val="00AA336E"/>
    <w:rsid w:val="00AA428E"/>
    <w:rsid w:val="00AA5DB5"/>
    <w:rsid w:val="00AD1AA6"/>
    <w:rsid w:val="00AF1F2A"/>
    <w:rsid w:val="00AF30EF"/>
    <w:rsid w:val="00AF5490"/>
    <w:rsid w:val="00B4633B"/>
    <w:rsid w:val="00B7369C"/>
    <w:rsid w:val="00B75285"/>
    <w:rsid w:val="00B777AF"/>
    <w:rsid w:val="00B81789"/>
    <w:rsid w:val="00B92DF1"/>
    <w:rsid w:val="00BA3C59"/>
    <w:rsid w:val="00BD34DA"/>
    <w:rsid w:val="00BD75E4"/>
    <w:rsid w:val="00BF3DD6"/>
    <w:rsid w:val="00BF4150"/>
    <w:rsid w:val="00BF5493"/>
    <w:rsid w:val="00C01AA6"/>
    <w:rsid w:val="00C06257"/>
    <w:rsid w:val="00C079B0"/>
    <w:rsid w:val="00C14250"/>
    <w:rsid w:val="00C2297C"/>
    <w:rsid w:val="00C31828"/>
    <w:rsid w:val="00C6070A"/>
    <w:rsid w:val="00C64BB4"/>
    <w:rsid w:val="00C73CF5"/>
    <w:rsid w:val="00C75BD4"/>
    <w:rsid w:val="00C83CAB"/>
    <w:rsid w:val="00C96847"/>
    <w:rsid w:val="00C96D41"/>
    <w:rsid w:val="00CA53B9"/>
    <w:rsid w:val="00CA5C08"/>
    <w:rsid w:val="00CB0A91"/>
    <w:rsid w:val="00CF2624"/>
    <w:rsid w:val="00CF38D7"/>
    <w:rsid w:val="00D24FD7"/>
    <w:rsid w:val="00D36448"/>
    <w:rsid w:val="00D5265C"/>
    <w:rsid w:val="00D56AF8"/>
    <w:rsid w:val="00D574CA"/>
    <w:rsid w:val="00D65EA7"/>
    <w:rsid w:val="00D71BC4"/>
    <w:rsid w:val="00D75E0F"/>
    <w:rsid w:val="00D846E2"/>
    <w:rsid w:val="00D9234D"/>
    <w:rsid w:val="00DA3EEB"/>
    <w:rsid w:val="00DA543D"/>
    <w:rsid w:val="00DB1DE9"/>
    <w:rsid w:val="00DB7073"/>
    <w:rsid w:val="00DC71A9"/>
    <w:rsid w:val="00DD025A"/>
    <w:rsid w:val="00DD1744"/>
    <w:rsid w:val="00DD6ADB"/>
    <w:rsid w:val="00DD7D7A"/>
    <w:rsid w:val="00DE18E2"/>
    <w:rsid w:val="00DF6818"/>
    <w:rsid w:val="00E06044"/>
    <w:rsid w:val="00E15B6E"/>
    <w:rsid w:val="00E22D63"/>
    <w:rsid w:val="00E97C17"/>
    <w:rsid w:val="00EA3809"/>
    <w:rsid w:val="00EC455E"/>
    <w:rsid w:val="00ED0A0D"/>
    <w:rsid w:val="00EF7674"/>
    <w:rsid w:val="00F03DC0"/>
    <w:rsid w:val="00F07E3D"/>
    <w:rsid w:val="00F17E6E"/>
    <w:rsid w:val="00F2705D"/>
    <w:rsid w:val="00F422E1"/>
    <w:rsid w:val="00F60548"/>
    <w:rsid w:val="00F67BBD"/>
    <w:rsid w:val="00F7087F"/>
    <w:rsid w:val="00F71F8E"/>
    <w:rsid w:val="00F74762"/>
    <w:rsid w:val="00F779AE"/>
    <w:rsid w:val="00F95133"/>
    <w:rsid w:val="00FA3366"/>
    <w:rsid w:val="00FB0592"/>
    <w:rsid w:val="00FB139B"/>
    <w:rsid w:val="00FB7D8E"/>
    <w:rsid w:val="00FB7F9B"/>
    <w:rsid w:val="00FD1126"/>
    <w:rsid w:val="00FE290A"/>
    <w:rsid w:val="00FF0D2A"/>
    <w:rsid w:val="00FF24BB"/>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8CF06F"/>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0D"/>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character" w:customStyle="1" w:styleId="apple-converted-space">
    <w:name w:val="apple-converted-space"/>
    <w:basedOn w:val="DefaultParagraphFont"/>
    <w:rsid w:val="00BD34DA"/>
  </w:style>
  <w:style w:type="character" w:customStyle="1" w:styleId="highlight">
    <w:name w:val="highlight"/>
    <w:basedOn w:val="DefaultParagraphFont"/>
    <w:rsid w:val="00BD34DA"/>
  </w:style>
  <w:style w:type="paragraph" w:styleId="Revision">
    <w:name w:val="Revision"/>
    <w:hidden/>
    <w:uiPriority w:val="99"/>
    <w:semiHidden/>
    <w:rsid w:val="004C3C85"/>
    <w:rPr>
      <w:sz w:val="24"/>
      <w:szCs w:val="24"/>
    </w:rPr>
  </w:style>
  <w:style w:type="paragraph" w:customStyle="1" w:styleId="body-paragraph4">
    <w:name w:val="body-paragraph4"/>
    <w:basedOn w:val="Normal"/>
    <w:rsid w:val="00E06044"/>
    <w:pPr>
      <w:spacing w:before="100" w:beforeAutospacing="1" w:after="100" w:afterAutospacing="1"/>
      <w:ind w:left="2220"/>
    </w:pPr>
  </w:style>
  <w:style w:type="character" w:customStyle="1" w:styleId="jrnl">
    <w:name w:val="jrnl"/>
    <w:basedOn w:val="DefaultParagraphFont"/>
    <w:rsid w:val="007A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2710">
      <w:bodyDiv w:val="1"/>
      <w:marLeft w:val="0"/>
      <w:marRight w:val="0"/>
      <w:marTop w:val="0"/>
      <w:marBottom w:val="0"/>
      <w:divBdr>
        <w:top w:val="none" w:sz="0" w:space="0" w:color="auto"/>
        <w:left w:val="none" w:sz="0" w:space="0" w:color="auto"/>
        <w:bottom w:val="none" w:sz="0" w:space="0" w:color="auto"/>
        <w:right w:val="none" w:sz="0" w:space="0" w:color="auto"/>
      </w:divBdr>
      <w:divsChild>
        <w:div w:id="1008865992">
          <w:marLeft w:val="0"/>
          <w:marRight w:val="0"/>
          <w:marTop w:val="0"/>
          <w:marBottom w:val="0"/>
          <w:divBdr>
            <w:top w:val="none" w:sz="0" w:space="0" w:color="auto"/>
            <w:left w:val="none" w:sz="0" w:space="0" w:color="auto"/>
            <w:bottom w:val="none" w:sz="0" w:space="0" w:color="auto"/>
            <w:right w:val="none" w:sz="0" w:space="0" w:color="auto"/>
          </w:divBdr>
          <w:divsChild>
            <w:div w:id="1822235298">
              <w:marLeft w:val="0"/>
              <w:marRight w:val="0"/>
              <w:marTop w:val="0"/>
              <w:marBottom w:val="0"/>
              <w:divBdr>
                <w:top w:val="none" w:sz="0" w:space="0" w:color="auto"/>
                <w:left w:val="none" w:sz="0" w:space="0" w:color="auto"/>
                <w:bottom w:val="none" w:sz="0" w:space="0" w:color="auto"/>
                <w:right w:val="none" w:sz="0" w:space="0" w:color="auto"/>
              </w:divBdr>
              <w:divsChild>
                <w:div w:id="143475116">
                  <w:marLeft w:val="0"/>
                  <w:marRight w:val="0"/>
                  <w:marTop w:val="0"/>
                  <w:marBottom w:val="0"/>
                  <w:divBdr>
                    <w:top w:val="none" w:sz="0" w:space="0" w:color="auto"/>
                    <w:left w:val="none" w:sz="0" w:space="0" w:color="auto"/>
                    <w:bottom w:val="none" w:sz="0" w:space="0" w:color="auto"/>
                    <w:right w:val="none" w:sz="0" w:space="0" w:color="auto"/>
                  </w:divBdr>
                  <w:divsChild>
                    <w:div w:id="625702063">
                      <w:marLeft w:val="0"/>
                      <w:marRight w:val="0"/>
                      <w:marTop w:val="0"/>
                      <w:marBottom w:val="0"/>
                      <w:divBdr>
                        <w:top w:val="none" w:sz="0" w:space="0" w:color="auto"/>
                        <w:left w:val="none" w:sz="0" w:space="0" w:color="auto"/>
                        <w:bottom w:val="none" w:sz="0" w:space="0" w:color="auto"/>
                        <w:right w:val="none" w:sz="0" w:space="0" w:color="auto"/>
                      </w:divBdr>
                      <w:divsChild>
                        <w:div w:id="1296526374">
                          <w:marLeft w:val="0"/>
                          <w:marRight w:val="0"/>
                          <w:marTop w:val="0"/>
                          <w:marBottom w:val="0"/>
                          <w:divBdr>
                            <w:top w:val="none" w:sz="0" w:space="0" w:color="auto"/>
                            <w:left w:val="none" w:sz="0" w:space="0" w:color="auto"/>
                            <w:bottom w:val="none" w:sz="0" w:space="0" w:color="auto"/>
                            <w:right w:val="none" w:sz="0" w:space="0" w:color="auto"/>
                          </w:divBdr>
                          <w:divsChild>
                            <w:div w:id="1179779975">
                              <w:marLeft w:val="0"/>
                              <w:marRight w:val="0"/>
                              <w:marTop w:val="0"/>
                              <w:marBottom w:val="0"/>
                              <w:divBdr>
                                <w:top w:val="none" w:sz="0" w:space="0" w:color="auto"/>
                                <w:left w:val="none" w:sz="0" w:space="0" w:color="auto"/>
                                <w:bottom w:val="none" w:sz="0" w:space="0" w:color="auto"/>
                                <w:right w:val="none" w:sz="0" w:space="0" w:color="auto"/>
                              </w:divBdr>
                              <w:divsChild>
                                <w:div w:id="1522277356">
                                  <w:marLeft w:val="0"/>
                                  <w:marRight w:val="0"/>
                                  <w:marTop w:val="0"/>
                                  <w:marBottom w:val="0"/>
                                  <w:divBdr>
                                    <w:top w:val="none" w:sz="0" w:space="0" w:color="auto"/>
                                    <w:left w:val="none" w:sz="0" w:space="0" w:color="auto"/>
                                    <w:bottom w:val="none" w:sz="0" w:space="0" w:color="auto"/>
                                    <w:right w:val="none" w:sz="0" w:space="0" w:color="auto"/>
                                  </w:divBdr>
                                  <w:divsChild>
                                    <w:div w:id="837423501">
                                      <w:marLeft w:val="0"/>
                                      <w:marRight w:val="0"/>
                                      <w:marTop w:val="0"/>
                                      <w:marBottom w:val="0"/>
                                      <w:divBdr>
                                        <w:top w:val="none" w:sz="0" w:space="0" w:color="auto"/>
                                        <w:left w:val="none" w:sz="0" w:space="0" w:color="auto"/>
                                        <w:bottom w:val="none" w:sz="0" w:space="0" w:color="auto"/>
                                        <w:right w:val="none" w:sz="0" w:space="0" w:color="auto"/>
                                      </w:divBdr>
                                      <w:divsChild>
                                        <w:div w:id="2053920171">
                                          <w:marLeft w:val="0"/>
                                          <w:marRight w:val="0"/>
                                          <w:marTop w:val="0"/>
                                          <w:marBottom w:val="0"/>
                                          <w:divBdr>
                                            <w:top w:val="none" w:sz="0" w:space="0" w:color="auto"/>
                                            <w:left w:val="none" w:sz="0" w:space="0" w:color="auto"/>
                                            <w:bottom w:val="none" w:sz="0" w:space="0" w:color="auto"/>
                                            <w:right w:val="none" w:sz="0" w:space="0" w:color="auto"/>
                                          </w:divBdr>
                                          <w:divsChild>
                                            <w:div w:id="206332844">
                                              <w:marLeft w:val="0"/>
                                              <w:marRight w:val="0"/>
                                              <w:marTop w:val="0"/>
                                              <w:marBottom w:val="0"/>
                                              <w:divBdr>
                                                <w:top w:val="none" w:sz="0" w:space="0" w:color="auto"/>
                                                <w:left w:val="none" w:sz="0" w:space="0" w:color="auto"/>
                                                <w:bottom w:val="none" w:sz="0" w:space="0" w:color="auto"/>
                                                <w:right w:val="none" w:sz="0" w:space="0" w:color="auto"/>
                                              </w:divBdr>
                                            </w:div>
                                            <w:div w:id="1912691262">
                                              <w:marLeft w:val="0"/>
                                              <w:marRight w:val="0"/>
                                              <w:marTop w:val="0"/>
                                              <w:marBottom w:val="0"/>
                                              <w:divBdr>
                                                <w:top w:val="none" w:sz="0" w:space="0" w:color="auto"/>
                                                <w:left w:val="none" w:sz="0" w:space="0" w:color="auto"/>
                                                <w:bottom w:val="none" w:sz="0" w:space="0" w:color="auto"/>
                                                <w:right w:val="none" w:sz="0" w:space="0" w:color="auto"/>
                                              </w:divBdr>
                                            </w:div>
                                            <w:div w:id="2453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990595778">
      <w:bodyDiv w:val="1"/>
      <w:marLeft w:val="0"/>
      <w:marRight w:val="0"/>
      <w:marTop w:val="0"/>
      <w:marBottom w:val="0"/>
      <w:divBdr>
        <w:top w:val="none" w:sz="0" w:space="0" w:color="auto"/>
        <w:left w:val="none" w:sz="0" w:space="0" w:color="auto"/>
        <w:bottom w:val="none" w:sz="0" w:space="0" w:color="auto"/>
        <w:right w:val="none" w:sz="0" w:space="0" w:color="auto"/>
      </w:divBdr>
      <w:divsChild>
        <w:div w:id="1376735095">
          <w:marLeft w:val="0"/>
          <w:marRight w:val="0"/>
          <w:marTop w:val="0"/>
          <w:marBottom w:val="0"/>
          <w:divBdr>
            <w:top w:val="none" w:sz="0" w:space="0" w:color="auto"/>
            <w:left w:val="none" w:sz="0" w:space="0" w:color="auto"/>
            <w:bottom w:val="none" w:sz="0" w:space="0" w:color="auto"/>
            <w:right w:val="none" w:sz="0" w:space="0" w:color="auto"/>
          </w:divBdr>
          <w:divsChild>
            <w:div w:id="2106921770">
              <w:marLeft w:val="0"/>
              <w:marRight w:val="0"/>
              <w:marTop w:val="0"/>
              <w:marBottom w:val="0"/>
              <w:divBdr>
                <w:top w:val="none" w:sz="0" w:space="0" w:color="auto"/>
                <w:left w:val="none" w:sz="0" w:space="0" w:color="auto"/>
                <w:bottom w:val="none" w:sz="0" w:space="0" w:color="auto"/>
                <w:right w:val="none" w:sz="0" w:space="0" w:color="auto"/>
              </w:divBdr>
              <w:divsChild>
                <w:div w:id="299920331">
                  <w:marLeft w:val="0"/>
                  <w:marRight w:val="0"/>
                  <w:marTop w:val="0"/>
                  <w:marBottom w:val="0"/>
                  <w:divBdr>
                    <w:top w:val="none" w:sz="0" w:space="0" w:color="auto"/>
                    <w:left w:val="none" w:sz="0" w:space="0" w:color="auto"/>
                    <w:bottom w:val="none" w:sz="0" w:space="0" w:color="auto"/>
                    <w:right w:val="none" w:sz="0" w:space="0" w:color="auto"/>
                  </w:divBdr>
                  <w:divsChild>
                    <w:div w:id="608319612">
                      <w:marLeft w:val="0"/>
                      <w:marRight w:val="0"/>
                      <w:marTop w:val="0"/>
                      <w:marBottom w:val="0"/>
                      <w:divBdr>
                        <w:top w:val="none" w:sz="0" w:space="0" w:color="auto"/>
                        <w:left w:val="none" w:sz="0" w:space="0" w:color="auto"/>
                        <w:bottom w:val="none" w:sz="0" w:space="0" w:color="auto"/>
                        <w:right w:val="none" w:sz="0" w:space="0" w:color="auto"/>
                      </w:divBdr>
                      <w:divsChild>
                        <w:div w:id="1935631531">
                          <w:marLeft w:val="0"/>
                          <w:marRight w:val="0"/>
                          <w:marTop w:val="960"/>
                          <w:marBottom w:val="0"/>
                          <w:divBdr>
                            <w:top w:val="none" w:sz="0" w:space="0" w:color="auto"/>
                            <w:left w:val="none" w:sz="0" w:space="0" w:color="auto"/>
                            <w:bottom w:val="none" w:sz="0" w:space="0" w:color="auto"/>
                            <w:right w:val="none" w:sz="0" w:space="0" w:color="auto"/>
                          </w:divBdr>
                          <w:divsChild>
                            <w:div w:id="228929379">
                              <w:marLeft w:val="0"/>
                              <w:marRight w:val="0"/>
                              <w:marTop w:val="0"/>
                              <w:marBottom w:val="0"/>
                              <w:divBdr>
                                <w:top w:val="none" w:sz="0" w:space="0" w:color="auto"/>
                                <w:left w:val="none" w:sz="0" w:space="0" w:color="auto"/>
                                <w:bottom w:val="none" w:sz="0" w:space="0" w:color="auto"/>
                                <w:right w:val="none" w:sz="0" w:space="0" w:color="auto"/>
                              </w:divBdr>
                              <w:divsChild>
                                <w:div w:id="1738749549">
                                  <w:marLeft w:val="0"/>
                                  <w:marRight w:val="0"/>
                                  <w:marTop w:val="0"/>
                                  <w:marBottom w:val="0"/>
                                  <w:divBdr>
                                    <w:top w:val="none" w:sz="0" w:space="0" w:color="auto"/>
                                    <w:left w:val="none" w:sz="0" w:space="0" w:color="auto"/>
                                    <w:bottom w:val="none" w:sz="0" w:space="0" w:color="auto"/>
                                    <w:right w:val="none" w:sz="0" w:space="0" w:color="auto"/>
                                  </w:divBdr>
                                  <w:divsChild>
                                    <w:div w:id="326784576">
                                      <w:marLeft w:val="0"/>
                                      <w:marRight w:val="0"/>
                                      <w:marTop w:val="0"/>
                                      <w:marBottom w:val="0"/>
                                      <w:divBdr>
                                        <w:top w:val="none" w:sz="0" w:space="0" w:color="auto"/>
                                        <w:left w:val="none" w:sz="0" w:space="0" w:color="auto"/>
                                        <w:bottom w:val="none" w:sz="0" w:space="0" w:color="auto"/>
                                        <w:right w:val="none" w:sz="0" w:space="0" w:color="auto"/>
                                      </w:divBdr>
                                      <w:divsChild>
                                        <w:div w:id="223374454">
                                          <w:marLeft w:val="0"/>
                                          <w:marRight w:val="0"/>
                                          <w:marTop w:val="0"/>
                                          <w:marBottom w:val="0"/>
                                          <w:divBdr>
                                            <w:top w:val="none" w:sz="0" w:space="0" w:color="auto"/>
                                            <w:left w:val="none" w:sz="0" w:space="0" w:color="auto"/>
                                            <w:bottom w:val="none" w:sz="0" w:space="0" w:color="auto"/>
                                            <w:right w:val="none" w:sz="0" w:space="0" w:color="auto"/>
                                          </w:divBdr>
                                          <w:divsChild>
                                            <w:div w:id="1564294876">
                                              <w:marLeft w:val="0"/>
                                              <w:marRight w:val="0"/>
                                              <w:marTop w:val="195"/>
                                              <w:marBottom w:val="195"/>
                                              <w:divBdr>
                                                <w:top w:val="none" w:sz="0" w:space="0" w:color="auto"/>
                                                <w:left w:val="none" w:sz="0" w:space="0" w:color="auto"/>
                                                <w:bottom w:val="none" w:sz="0" w:space="0" w:color="auto"/>
                                                <w:right w:val="none" w:sz="0" w:space="0" w:color="auto"/>
                                              </w:divBdr>
                                              <w:divsChild>
                                                <w:div w:id="600574001">
                                                  <w:marLeft w:val="0"/>
                                                  <w:marRight w:val="0"/>
                                                  <w:marTop w:val="0"/>
                                                  <w:marBottom w:val="0"/>
                                                  <w:divBdr>
                                                    <w:top w:val="none" w:sz="0" w:space="0" w:color="auto"/>
                                                    <w:left w:val="none" w:sz="0" w:space="0" w:color="auto"/>
                                                    <w:bottom w:val="none" w:sz="0" w:space="0" w:color="auto"/>
                                                    <w:right w:val="none" w:sz="0" w:space="0" w:color="auto"/>
                                                  </w:divBdr>
                                                  <w:divsChild>
                                                    <w:div w:id="1975063486">
                                                      <w:marLeft w:val="0"/>
                                                      <w:marRight w:val="0"/>
                                                      <w:marTop w:val="0"/>
                                                      <w:marBottom w:val="0"/>
                                                      <w:divBdr>
                                                        <w:top w:val="none" w:sz="0" w:space="0" w:color="auto"/>
                                                        <w:left w:val="none" w:sz="0" w:space="0" w:color="auto"/>
                                                        <w:bottom w:val="none" w:sz="0" w:space="0" w:color="auto"/>
                                                        <w:right w:val="none" w:sz="0" w:space="0" w:color="auto"/>
                                                      </w:divBdr>
                                                    </w:div>
                                                    <w:div w:id="2056420424">
                                                      <w:marLeft w:val="0"/>
                                                      <w:marRight w:val="0"/>
                                                      <w:marTop w:val="0"/>
                                                      <w:marBottom w:val="0"/>
                                                      <w:divBdr>
                                                        <w:top w:val="none" w:sz="0" w:space="0" w:color="auto"/>
                                                        <w:left w:val="none" w:sz="0" w:space="0" w:color="auto"/>
                                                        <w:bottom w:val="none" w:sz="0" w:space="0" w:color="auto"/>
                                                        <w:right w:val="none" w:sz="0" w:space="0" w:color="auto"/>
                                                      </w:divBdr>
                                                    </w:div>
                                                    <w:div w:id="3554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598828565">
      <w:bodyDiv w:val="1"/>
      <w:marLeft w:val="0"/>
      <w:marRight w:val="0"/>
      <w:marTop w:val="0"/>
      <w:marBottom w:val="0"/>
      <w:divBdr>
        <w:top w:val="none" w:sz="0" w:space="0" w:color="auto"/>
        <w:left w:val="none" w:sz="0" w:space="0" w:color="auto"/>
        <w:bottom w:val="none" w:sz="0" w:space="0" w:color="auto"/>
        <w:right w:val="none" w:sz="0" w:space="0" w:color="auto"/>
      </w:divBdr>
      <w:divsChild>
        <w:div w:id="2078891471">
          <w:marLeft w:val="0"/>
          <w:marRight w:val="0"/>
          <w:marTop w:val="0"/>
          <w:marBottom w:val="0"/>
          <w:divBdr>
            <w:top w:val="none" w:sz="0" w:space="0" w:color="auto"/>
            <w:left w:val="none" w:sz="0" w:space="0" w:color="auto"/>
            <w:bottom w:val="none" w:sz="0" w:space="0" w:color="auto"/>
            <w:right w:val="none" w:sz="0" w:space="0" w:color="auto"/>
          </w:divBdr>
          <w:divsChild>
            <w:div w:id="447432742">
              <w:marLeft w:val="0"/>
              <w:marRight w:val="0"/>
              <w:marTop w:val="0"/>
              <w:marBottom w:val="0"/>
              <w:divBdr>
                <w:top w:val="none" w:sz="0" w:space="0" w:color="auto"/>
                <w:left w:val="none" w:sz="0" w:space="0" w:color="auto"/>
                <w:bottom w:val="none" w:sz="0" w:space="0" w:color="auto"/>
                <w:right w:val="none" w:sz="0" w:space="0" w:color="auto"/>
              </w:divBdr>
              <w:divsChild>
                <w:div w:id="722825121">
                  <w:marLeft w:val="0"/>
                  <w:marRight w:val="0"/>
                  <w:marTop w:val="0"/>
                  <w:marBottom w:val="0"/>
                  <w:divBdr>
                    <w:top w:val="none" w:sz="0" w:space="0" w:color="auto"/>
                    <w:left w:val="none" w:sz="0" w:space="0" w:color="auto"/>
                    <w:bottom w:val="none" w:sz="0" w:space="0" w:color="auto"/>
                    <w:right w:val="none" w:sz="0" w:space="0" w:color="auto"/>
                  </w:divBdr>
                  <w:divsChild>
                    <w:div w:id="1265261442">
                      <w:marLeft w:val="375"/>
                      <w:marRight w:val="375"/>
                      <w:marTop w:val="0"/>
                      <w:marBottom w:val="0"/>
                      <w:divBdr>
                        <w:top w:val="none" w:sz="0" w:space="0" w:color="auto"/>
                        <w:left w:val="none" w:sz="0" w:space="0" w:color="auto"/>
                        <w:bottom w:val="none" w:sz="0" w:space="0" w:color="auto"/>
                        <w:right w:val="none" w:sz="0" w:space="0" w:color="auto"/>
                      </w:divBdr>
                      <w:divsChild>
                        <w:div w:id="2004696474">
                          <w:marLeft w:val="120"/>
                          <w:marRight w:val="0"/>
                          <w:marTop w:val="0"/>
                          <w:marBottom w:val="0"/>
                          <w:divBdr>
                            <w:top w:val="none" w:sz="0" w:space="0" w:color="auto"/>
                            <w:left w:val="none" w:sz="0" w:space="0" w:color="auto"/>
                            <w:bottom w:val="single" w:sz="6" w:space="0" w:color="AAAAAA"/>
                            <w:right w:val="none" w:sz="0" w:space="0" w:color="auto"/>
                          </w:divBdr>
                          <w:divsChild>
                            <w:div w:id="1059980818">
                              <w:marLeft w:val="0"/>
                              <w:marRight w:val="0"/>
                              <w:marTop w:val="0"/>
                              <w:marBottom w:val="0"/>
                              <w:divBdr>
                                <w:top w:val="none" w:sz="0" w:space="0" w:color="auto"/>
                                <w:left w:val="none" w:sz="0" w:space="0" w:color="auto"/>
                                <w:bottom w:val="none" w:sz="0" w:space="0" w:color="auto"/>
                                <w:right w:val="none" w:sz="0" w:space="0" w:color="auto"/>
                              </w:divBdr>
                              <w:divsChild>
                                <w:div w:id="812988742">
                                  <w:marLeft w:val="0"/>
                                  <w:marRight w:val="0"/>
                                  <w:marTop w:val="0"/>
                                  <w:marBottom w:val="0"/>
                                  <w:divBdr>
                                    <w:top w:val="none" w:sz="0" w:space="0" w:color="auto"/>
                                    <w:left w:val="none" w:sz="0" w:space="0" w:color="auto"/>
                                    <w:bottom w:val="none" w:sz="0" w:space="0" w:color="auto"/>
                                    <w:right w:val="none" w:sz="0" w:space="0" w:color="auto"/>
                                  </w:divBdr>
                                  <w:divsChild>
                                    <w:div w:id="1469130873">
                                      <w:marLeft w:val="-225"/>
                                      <w:marRight w:val="-195"/>
                                      <w:marTop w:val="0"/>
                                      <w:marBottom w:val="75"/>
                                      <w:divBdr>
                                        <w:top w:val="none" w:sz="0" w:space="0" w:color="auto"/>
                                        <w:left w:val="none" w:sz="0" w:space="0" w:color="auto"/>
                                        <w:bottom w:val="none" w:sz="0" w:space="0" w:color="auto"/>
                                        <w:right w:val="none" w:sz="0" w:space="0" w:color="auto"/>
                                      </w:divBdr>
                                      <w:divsChild>
                                        <w:div w:id="18283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8513">
      <w:bodyDiv w:val="1"/>
      <w:marLeft w:val="0"/>
      <w:marRight w:val="0"/>
      <w:marTop w:val="0"/>
      <w:marBottom w:val="0"/>
      <w:divBdr>
        <w:top w:val="none" w:sz="0" w:space="0" w:color="auto"/>
        <w:left w:val="none" w:sz="0" w:space="0" w:color="auto"/>
        <w:bottom w:val="none" w:sz="0" w:space="0" w:color="auto"/>
        <w:right w:val="none" w:sz="0" w:space="0" w:color="auto"/>
      </w:divBdr>
    </w:div>
    <w:div w:id="1863855767">
      <w:bodyDiv w:val="1"/>
      <w:marLeft w:val="0"/>
      <w:marRight w:val="0"/>
      <w:marTop w:val="0"/>
      <w:marBottom w:val="0"/>
      <w:divBdr>
        <w:top w:val="none" w:sz="0" w:space="0" w:color="auto"/>
        <w:left w:val="none" w:sz="0" w:space="0" w:color="auto"/>
        <w:bottom w:val="none" w:sz="0" w:space="0" w:color="auto"/>
        <w:right w:val="none" w:sz="0" w:space="0" w:color="auto"/>
      </w:divBdr>
      <w:divsChild>
        <w:div w:id="1886480417">
          <w:marLeft w:val="0"/>
          <w:marRight w:val="1"/>
          <w:marTop w:val="0"/>
          <w:marBottom w:val="0"/>
          <w:divBdr>
            <w:top w:val="none" w:sz="0" w:space="0" w:color="auto"/>
            <w:left w:val="none" w:sz="0" w:space="0" w:color="auto"/>
            <w:bottom w:val="none" w:sz="0" w:space="0" w:color="auto"/>
            <w:right w:val="none" w:sz="0" w:space="0" w:color="auto"/>
          </w:divBdr>
          <w:divsChild>
            <w:div w:id="1626236888">
              <w:marLeft w:val="0"/>
              <w:marRight w:val="0"/>
              <w:marTop w:val="0"/>
              <w:marBottom w:val="0"/>
              <w:divBdr>
                <w:top w:val="none" w:sz="0" w:space="0" w:color="auto"/>
                <w:left w:val="none" w:sz="0" w:space="0" w:color="auto"/>
                <w:bottom w:val="none" w:sz="0" w:space="0" w:color="auto"/>
                <w:right w:val="none" w:sz="0" w:space="0" w:color="auto"/>
              </w:divBdr>
              <w:divsChild>
                <w:div w:id="72432520">
                  <w:marLeft w:val="0"/>
                  <w:marRight w:val="1"/>
                  <w:marTop w:val="0"/>
                  <w:marBottom w:val="0"/>
                  <w:divBdr>
                    <w:top w:val="none" w:sz="0" w:space="0" w:color="auto"/>
                    <w:left w:val="none" w:sz="0" w:space="0" w:color="auto"/>
                    <w:bottom w:val="none" w:sz="0" w:space="0" w:color="auto"/>
                    <w:right w:val="none" w:sz="0" w:space="0" w:color="auto"/>
                  </w:divBdr>
                  <w:divsChild>
                    <w:div w:id="699741371">
                      <w:marLeft w:val="0"/>
                      <w:marRight w:val="0"/>
                      <w:marTop w:val="0"/>
                      <w:marBottom w:val="0"/>
                      <w:divBdr>
                        <w:top w:val="none" w:sz="0" w:space="0" w:color="auto"/>
                        <w:left w:val="none" w:sz="0" w:space="0" w:color="auto"/>
                        <w:bottom w:val="none" w:sz="0" w:space="0" w:color="auto"/>
                        <w:right w:val="none" w:sz="0" w:space="0" w:color="auto"/>
                      </w:divBdr>
                      <w:divsChild>
                        <w:div w:id="915241446">
                          <w:marLeft w:val="0"/>
                          <w:marRight w:val="0"/>
                          <w:marTop w:val="0"/>
                          <w:marBottom w:val="0"/>
                          <w:divBdr>
                            <w:top w:val="none" w:sz="0" w:space="0" w:color="auto"/>
                            <w:left w:val="none" w:sz="0" w:space="0" w:color="auto"/>
                            <w:bottom w:val="none" w:sz="0" w:space="0" w:color="auto"/>
                            <w:right w:val="none" w:sz="0" w:space="0" w:color="auto"/>
                          </w:divBdr>
                          <w:divsChild>
                            <w:div w:id="1366951634">
                              <w:marLeft w:val="0"/>
                              <w:marRight w:val="0"/>
                              <w:marTop w:val="120"/>
                              <w:marBottom w:val="360"/>
                              <w:divBdr>
                                <w:top w:val="none" w:sz="0" w:space="0" w:color="auto"/>
                                <w:left w:val="none" w:sz="0" w:space="0" w:color="auto"/>
                                <w:bottom w:val="none" w:sz="0" w:space="0" w:color="auto"/>
                                <w:right w:val="none" w:sz="0" w:space="0" w:color="auto"/>
                              </w:divBdr>
                              <w:divsChild>
                                <w:div w:id="1715621378">
                                  <w:marLeft w:val="0"/>
                                  <w:marRight w:val="0"/>
                                  <w:marTop w:val="0"/>
                                  <w:marBottom w:val="0"/>
                                  <w:divBdr>
                                    <w:top w:val="none" w:sz="0" w:space="0" w:color="auto"/>
                                    <w:left w:val="none" w:sz="0" w:space="0" w:color="auto"/>
                                    <w:bottom w:val="none" w:sz="0" w:space="0" w:color="auto"/>
                                    <w:right w:val="none" w:sz="0" w:space="0" w:color="auto"/>
                                  </w:divBdr>
                                  <w:divsChild>
                                    <w:div w:id="1505822817">
                                      <w:marLeft w:val="0"/>
                                      <w:marRight w:val="0"/>
                                      <w:marTop w:val="0"/>
                                      <w:marBottom w:val="0"/>
                                      <w:divBdr>
                                        <w:top w:val="none" w:sz="0" w:space="0" w:color="auto"/>
                                        <w:left w:val="none" w:sz="0" w:space="0" w:color="auto"/>
                                        <w:bottom w:val="none" w:sz="0" w:space="0" w:color="auto"/>
                                        <w:right w:val="none" w:sz="0" w:space="0" w:color="auto"/>
                                      </w:divBdr>
                                    </w:div>
                                    <w:div w:id="36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29046">
      <w:bodyDiv w:val="1"/>
      <w:marLeft w:val="0"/>
      <w:marRight w:val="0"/>
      <w:marTop w:val="0"/>
      <w:marBottom w:val="0"/>
      <w:divBdr>
        <w:top w:val="none" w:sz="0" w:space="0" w:color="auto"/>
        <w:left w:val="none" w:sz="0" w:space="0" w:color="auto"/>
        <w:bottom w:val="none" w:sz="0" w:space="0" w:color="auto"/>
        <w:right w:val="none" w:sz="0" w:space="0" w:color="auto"/>
      </w:divBdr>
      <w:divsChild>
        <w:div w:id="457334436">
          <w:marLeft w:val="0"/>
          <w:marRight w:val="1"/>
          <w:marTop w:val="0"/>
          <w:marBottom w:val="0"/>
          <w:divBdr>
            <w:top w:val="none" w:sz="0" w:space="0" w:color="auto"/>
            <w:left w:val="none" w:sz="0" w:space="0" w:color="auto"/>
            <w:bottom w:val="none" w:sz="0" w:space="0" w:color="auto"/>
            <w:right w:val="none" w:sz="0" w:space="0" w:color="auto"/>
          </w:divBdr>
          <w:divsChild>
            <w:div w:id="1380128433">
              <w:marLeft w:val="0"/>
              <w:marRight w:val="0"/>
              <w:marTop w:val="0"/>
              <w:marBottom w:val="0"/>
              <w:divBdr>
                <w:top w:val="none" w:sz="0" w:space="0" w:color="auto"/>
                <w:left w:val="none" w:sz="0" w:space="0" w:color="auto"/>
                <w:bottom w:val="none" w:sz="0" w:space="0" w:color="auto"/>
                <w:right w:val="none" w:sz="0" w:space="0" w:color="auto"/>
              </w:divBdr>
              <w:divsChild>
                <w:div w:id="1306468476">
                  <w:marLeft w:val="0"/>
                  <w:marRight w:val="1"/>
                  <w:marTop w:val="0"/>
                  <w:marBottom w:val="0"/>
                  <w:divBdr>
                    <w:top w:val="none" w:sz="0" w:space="0" w:color="auto"/>
                    <w:left w:val="none" w:sz="0" w:space="0" w:color="auto"/>
                    <w:bottom w:val="none" w:sz="0" w:space="0" w:color="auto"/>
                    <w:right w:val="none" w:sz="0" w:space="0" w:color="auto"/>
                  </w:divBdr>
                  <w:divsChild>
                    <w:div w:id="2088527251">
                      <w:marLeft w:val="0"/>
                      <w:marRight w:val="0"/>
                      <w:marTop w:val="0"/>
                      <w:marBottom w:val="0"/>
                      <w:divBdr>
                        <w:top w:val="none" w:sz="0" w:space="0" w:color="auto"/>
                        <w:left w:val="none" w:sz="0" w:space="0" w:color="auto"/>
                        <w:bottom w:val="none" w:sz="0" w:space="0" w:color="auto"/>
                        <w:right w:val="none" w:sz="0" w:space="0" w:color="auto"/>
                      </w:divBdr>
                      <w:divsChild>
                        <w:div w:id="517542756">
                          <w:marLeft w:val="0"/>
                          <w:marRight w:val="0"/>
                          <w:marTop w:val="0"/>
                          <w:marBottom w:val="0"/>
                          <w:divBdr>
                            <w:top w:val="none" w:sz="0" w:space="0" w:color="auto"/>
                            <w:left w:val="none" w:sz="0" w:space="0" w:color="auto"/>
                            <w:bottom w:val="none" w:sz="0" w:space="0" w:color="auto"/>
                            <w:right w:val="none" w:sz="0" w:space="0" w:color="auto"/>
                          </w:divBdr>
                          <w:divsChild>
                            <w:div w:id="243493226">
                              <w:marLeft w:val="0"/>
                              <w:marRight w:val="0"/>
                              <w:marTop w:val="120"/>
                              <w:marBottom w:val="360"/>
                              <w:divBdr>
                                <w:top w:val="none" w:sz="0" w:space="0" w:color="auto"/>
                                <w:left w:val="none" w:sz="0" w:space="0" w:color="auto"/>
                                <w:bottom w:val="none" w:sz="0" w:space="0" w:color="auto"/>
                                <w:right w:val="none" w:sz="0" w:space="0" w:color="auto"/>
                              </w:divBdr>
                              <w:divsChild>
                                <w:div w:id="1221986515">
                                  <w:marLeft w:val="0"/>
                                  <w:marRight w:val="0"/>
                                  <w:marTop w:val="0"/>
                                  <w:marBottom w:val="0"/>
                                  <w:divBdr>
                                    <w:top w:val="none" w:sz="0" w:space="0" w:color="auto"/>
                                    <w:left w:val="none" w:sz="0" w:space="0" w:color="auto"/>
                                    <w:bottom w:val="none" w:sz="0" w:space="0" w:color="auto"/>
                                    <w:right w:val="none" w:sz="0" w:space="0" w:color="auto"/>
                                  </w:divBdr>
                                  <w:divsChild>
                                    <w:div w:id="21383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m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cbi.nlm.nih.gov/pubmed/2821448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D697-CDF8-406B-A13B-18BF8DCD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B83F54-78B2-45F7-82C8-03937EFF4A61}">
  <ds:schemaRefs>
    <ds:schemaRef ds:uri="http://schemas.microsoft.com/sharepoint/v3/contenttype/forms"/>
  </ds:schemaRefs>
</ds:datastoreItem>
</file>

<file path=customXml/itemProps3.xml><?xml version="1.0" encoding="utf-8"?>
<ds:datastoreItem xmlns:ds="http://schemas.openxmlformats.org/officeDocument/2006/customXml" ds:itemID="{44A26FFB-6FD5-4179-89B3-EAF1D5F68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C44EDA-D42A-41FF-BB0C-0A1346B8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12821</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Sarah Colbert-Fluchel</cp:lastModifiedBy>
  <cp:revision>2</cp:revision>
  <cp:lastPrinted>2019-03-20T20:35:00Z</cp:lastPrinted>
  <dcterms:created xsi:type="dcterms:W3CDTF">2019-09-12T14:08:00Z</dcterms:created>
  <dcterms:modified xsi:type="dcterms:W3CDTF">2019-09-12T14:08:00Z</dcterms:modified>
</cp:coreProperties>
</file>