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C8226" w14:textId="79EFE2A7" w:rsidR="00B777AF" w:rsidRPr="003B6CEF" w:rsidRDefault="00230FE4" w:rsidP="00D574CA">
      <w:pPr>
        <w:pStyle w:val="PolicyMainHead"/>
        <w:tabs>
          <w:tab w:val="left" w:pos="360"/>
        </w:tabs>
        <w:spacing w:after="0" w:line="240" w:lineRule="auto"/>
        <w:rPr>
          <w:rFonts w:ascii="Times New Roman" w:hAnsi="Times New Roman"/>
          <w:color w:val="00548C"/>
          <w:sz w:val="36"/>
        </w:rPr>
        <w:sectPr w:rsidR="00B777AF" w:rsidRPr="003B6CEF" w:rsidSect="00CB63DD">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3B6CEF">
        <w:rPr>
          <w:rFonts w:ascii="Times New Roman" w:hAnsi="Times New Roman"/>
          <w:color w:val="00548C"/>
          <w:sz w:val="36"/>
        </w:rPr>
        <w:t xml:space="preserve"> S</w:t>
      </w:r>
      <w:r w:rsidR="000613C1">
        <w:rPr>
          <w:rFonts w:ascii="Times New Roman" w:hAnsi="Times New Roman"/>
          <w:color w:val="00548C"/>
          <w:sz w:val="36"/>
        </w:rPr>
        <w:t>acroiliac Joint Interventions</w:t>
      </w:r>
      <w:r w:rsidR="00690AA5">
        <w:rPr>
          <w:rFonts w:ascii="Times New Roman" w:hAnsi="Times New Roman"/>
          <w:color w:val="00548C"/>
          <w:sz w:val="36"/>
        </w:rPr>
        <w:t xml:space="preserve"> for Pain Management</w:t>
      </w:r>
    </w:p>
    <w:p w14:paraId="1CCCED07" w14:textId="5DF153D5" w:rsidR="00480C09" w:rsidRPr="003D7BE7" w:rsidRDefault="00D574CA" w:rsidP="00CB63DD">
      <w:pPr>
        <w:pStyle w:val="PolicyMainHead"/>
        <w:spacing w:after="0" w:line="240" w:lineRule="auto"/>
        <w:rPr>
          <w:rFonts w:ascii="Times New Roman" w:hAnsi="Times New Roman"/>
          <w:color w:val="00548C"/>
          <w:sz w:val="24"/>
          <w:szCs w:val="24"/>
        </w:rPr>
        <w:sectPr w:rsidR="00480C09" w:rsidRPr="003D7BE7" w:rsidSect="00CB63DD">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0613C1">
        <w:rPr>
          <w:rFonts w:ascii="Times New Roman" w:hAnsi="Times New Roman"/>
          <w:color w:val="00548C"/>
          <w:sz w:val="24"/>
          <w:szCs w:val="24"/>
        </w:rPr>
        <w:t>166</w:t>
      </w:r>
      <w:r w:rsidR="00CB63DD">
        <w:rPr>
          <w:rFonts w:ascii="Times New Roman" w:hAnsi="Times New Roman"/>
          <w:color w:val="00548C"/>
          <w:sz w:val="24"/>
          <w:szCs w:val="24"/>
        </w:rPr>
        <w:tab/>
      </w:r>
      <w:r w:rsidR="00CB63DD">
        <w:rPr>
          <w:rFonts w:ascii="Times New Roman" w:hAnsi="Times New Roman"/>
          <w:color w:val="00548C"/>
          <w:sz w:val="24"/>
          <w:szCs w:val="24"/>
        </w:rPr>
        <w:tab/>
        <w:t xml:space="preserve">  </w:t>
      </w:r>
      <w:r w:rsidR="00CB63DD">
        <w:rPr>
          <w:rFonts w:ascii="Times New Roman" w:hAnsi="Times New Roman"/>
          <w:color w:val="00548C"/>
          <w:sz w:val="24"/>
          <w:szCs w:val="24"/>
        </w:rPr>
        <w:tab/>
      </w:r>
      <w:r w:rsidR="00480C09" w:rsidRPr="003D7BE7">
        <w:rPr>
          <w:rFonts w:ascii="Times New Roman" w:hAnsi="Times New Roman"/>
          <w:color w:val="00548C"/>
          <w:sz w:val="24"/>
          <w:szCs w:val="24"/>
        </w:rPr>
        <w:tab/>
      </w:r>
      <w:r w:rsidR="00CB63DD">
        <w:rPr>
          <w:rFonts w:ascii="Times New Roman" w:hAnsi="Times New Roman"/>
          <w:color w:val="00548C"/>
          <w:sz w:val="24"/>
          <w:szCs w:val="24"/>
        </w:rPr>
        <w:tab/>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7CADDEEF" w14:textId="27B29417" w:rsidR="00875924" w:rsidRDefault="00D574CA" w:rsidP="00CB63DD">
      <w:pPr>
        <w:pStyle w:val="PolicyMainHead"/>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6126B6">
        <w:rPr>
          <w:rFonts w:ascii="Times New Roman" w:hAnsi="Times New Roman"/>
          <w:color w:val="00548C"/>
          <w:sz w:val="24"/>
          <w:szCs w:val="24"/>
        </w:rPr>
        <w:t>0</w:t>
      </w:r>
      <w:r w:rsidR="00844710">
        <w:rPr>
          <w:rFonts w:ascii="Times New Roman" w:hAnsi="Times New Roman"/>
          <w:color w:val="00548C"/>
          <w:sz w:val="24"/>
          <w:szCs w:val="24"/>
        </w:rPr>
        <w:t>8</w:t>
      </w:r>
      <w:r w:rsidR="006126B6">
        <w:rPr>
          <w:rFonts w:ascii="Times New Roman" w:hAnsi="Times New Roman"/>
          <w:color w:val="00548C"/>
          <w:sz w:val="24"/>
          <w:szCs w:val="24"/>
        </w:rPr>
        <w:t>/19</w:t>
      </w:r>
    </w:p>
    <w:p w14:paraId="354E7C46" w14:textId="77777777" w:rsidR="00875924" w:rsidRDefault="002004A8"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CB63DD">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1F02503D"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36CD0097"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719C5ED2" w14:textId="1295C81A" w:rsidR="00C73CF5" w:rsidRDefault="00C73CF5" w:rsidP="00B8063A">
      <w:pPr>
        <w:pStyle w:val="NormalWeb"/>
        <w:tabs>
          <w:tab w:val="left" w:pos="1425"/>
        </w:tabs>
        <w:spacing w:before="0" w:beforeAutospacing="0" w:after="0" w:afterAutospacing="0"/>
        <w:rPr>
          <w:rStyle w:val="Strong"/>
          <w:rFonts w:ascii="Times New Roman" w:hAnsi="Times New Roman" w:cs="Times New Roman"/>
          <w:b w:val="0"/>
          <w:bCs w:val="0"/>
          <w:u w:val="single"/>
        </w:rPr>
      </w:pPr>
    </w:p>
    <w:p w14:paraId="16EE8073" w14:textId="77777777" w:rsidR="00583376" w:rsidRPr="0010059F" w:rsidRDefault="00583376" w:rsidP="0010059F">
      <w:pPr>
        <w:pStyle w:val="Heading1"/>
        <w:rPr>
          <w:sz w:val="24"/>
        </w:rPr>
      </w:pPr>
      <w:r w:rsidRPr="0010059F">
        <w:rPr>
          <w:sz w:val="24"/>
        </w:rPr>
        <w:t xml:space="preserve">Description </w:t>
      </w:r>
    </w:p>
    <w:p w14:paraId="56C26D74" w14:textId="4D9364CB" w:rsidR="00ED0A0D" w:rsidRDefault="003C37CD" w:rsidP="003C37CD">
      <w:r w:rsidRPr="006744F1">
        <w:t xml:space="preserve">Treatment for sacroiliac joint </w:t>
      </w:r>
      <w:r>
        <w:t xml:space="preserve">(SIJ) </w:t>
      </w:r>
      <w:r w:rsidRPr="006744F1">
        <w:t xml:space="preserve">dysfunction is usually conservative (non-surgical) and focuses on trying to restore normal motion in the joint. In patients who have </w:t>
      </w:r>
      <w:r>
        <w:t>failed t</w:t>
      </w:r>
      <w:r w:rsidRPr="006744F1">
        <w:t>o respond to conservative therapy, a</w:t>
      </w:r>
      <w:r>
        <w:t>n</w:t>
      </w:r>
      <w:r w:rsidRPr="006744F1">
        <w:t xml:space="preserve"> SIJ injection can be helpful for both diagnostic and therapeutic purposes. SIJ injections into the synovial sac of the SIJ may provide immediate and significant pain relief. </w:t>
      </w:r>
    </w:p>
    <w:p w14:paraId="7BEDE563" w14:textId="77777777" w:rsidR="005D7B81" w:rsidRPr="00B777AF" w:rsidRDefault="005D7B81" w:rsidP="00196935"/>
    <w:p w14:paraId="71DBFAE6" w14:textId="6D5235CA" w:rsidR="00E70D15" w:rsidRPr="00E70D15" w:rsidRDefault="00583376" w:rsidP="00E70D15">
      <w:pPr>
        <w:pStyle w:val="Heading2"/>
        <w:rPr>
          <w:u w:val="none"/>
        </w:rPr>
      </w:pPr>
      <w:r w:rsidRPr="00B777AF">
        <w:rPr>
          <w:u w:val="none"/>
        </w:rPr>
        <w:t>Policy/Criteria</w:t>
      </w:r>
    </w:p>
    <w:p w14:paraId="1A86CB3E" w14:textId="59287DC3" w:rsidR="00E70D15" w:rsidRPr="00E70D15" w:rsidRDefault="00E70D15" w:rsidP="00E70D15">
      <w:pPr>
        <w:pStyle w:val="NormalWeb"/>
        <w:widowControl w:val="0"/>
        <w:spacing w:before="0" w:beforeAutospacing="0" w:after="0" w:afterAutospacing="0"/>
        <w:rPr>
          <w:rFonts w:ascii="Times New Roman" w:eastAsia="Times New Roman" w:hAnsi="Times New Roman" w:cs="Times New Roman"/>
        </w:rPr>
      </w:pPr>
      <w:r w:rsidRPr="00834BF0">
        <w:rPr>
          <w:rFonts w:ascii="Times New Roman" w:eastAsia="Times New Roman" w:hAnsi="Times New Roman" w:cs="Times New Roman"/>
        </w:rPr>
        <w:t>It is the policy of health plans affiliated with Centene Corporation</w:t>
      </w:r>
      <w:r w:rsidRPr="002B0255">
        <w:rPr>
          <w:rFonts w:ascii="Times New Roman" w:eastAsia="Times New Roman" w:hAnsi="Times New Roman" w:cs="Times New Roman"/>
          <w:vertAlign w:val="superscript"/>
        </w:rPr>
        <w:t>®</w:t>
      </w:r>
      <w:r w:rsidRPr="00834BF0">
        <w:rPr>
          <w:rFonts w:ascii="Times New Roman" w:eastAsia="Times New Roman" w:hAnsi="Times New Roman" w:cs="Times New Roman"/>
        </w:rPr>
        <w:t xml:space="preserve"> that invasive pain management procedures performed by a physician are </w:t>
      </w:r>
      <w:r w:rsidRPr="002B0255">
        <w:rPr>
          <w:rFonts w:ascii="Times New Roman" w:eastAsia="Times New Roman" w:hAnsi="Times New Roman" w:cs="Times New Roman"/>
          <w:b/>
        </w:rPr>
        <w:t>medically necessary</w:t>
      </w:r>
      <w:r w:rsidRPr="00834BF0">
        <w:rPr>
          <w:rFonts w:ascii="Times New Roman" w:eastAsia="Times New Roman" w:hAnsi="Times New Roman" w:cs="Times New Roman"/>
        </w:rPr>
        <w:t xml:space="preserve"> </w:t>
      </w:r>
      <w:r w:rsidRPr="00214A3F">
        <w:rPr>
          <w:rFonts w:ascii="Times New Roman" w:eastAsia="Times New Roman" w:hAnsi="Times New Roman" w:cs="Times New Roman"/>
        </w:rPr>
        <w:t xml:space="preserve">when </w:t>
      </w:r>
      <w:r w:rsidRPr="00224176">
        <w:rPr>
          <w:rFonts w:ascii="Times New Roman" w:eastAsia="Times New Roman" w:hAnsi="Times New Roman" w:cs="Times New Roman"/>
          <w:i/>
        </w:rPr>
        <w:t xml:space="preserve">the relevant criteria are met and the patient receives </w:t>
      </w:r>
      <w:r w:rsidRPr="00224176">
        <w:rPr>
          <w:rFonts w:ascii="Times New Roman" w:eastAsia="Times New Roman" w:hAnsi="Times New Roman" w:cs="Times New Roman"/>
          <w:i/>
          <w:iCs/>
        </w:rPr>
        <w:t>only one</w:t>
      </w:r>
      <w:r w:rsidRPr="00224176">
        <w:rPr>
          <w:rFonts w:ascii="Times New Roman" w:eastAsia="Times New Roman" w:hAnsi="Times New Roman" w:cs="Times New Roman"/>
          <w:i/>
        </w:rPr>
        <w:t xml:space="preserve"> procedure per visit, with or without radiographic guidance.</w:t>
      </w:r>
      <w:r>
        <w:rPr>
          <w:rFonts w:ascii="Times New Roman" w:eastAsia="Times New Roman" w:hAnsi="Times New Roman" w:cs="Times New Roman"/>
        </w:rPr>
        <w:t xml:space="preserve">  </w:t>
      </w:r>
    </w:p>
    <w:p w14:paraId="59B43E44" w14:textId="77777777" w:rsidR="00E70D15" w:rsidRPr="00E70D15" w:rsidRDefault="00E70D15" w:rsidP="00E70D15"/>
    <w:p w14:paraId="5E4FAB14" w14:textId="06008BBD" w:rsidR="00C96847" w:rsidRDefault="00E70D15" w:rsidP="00C96847">
      <w:pPr>
        <w:numPr>
          <w:ilvl w:val="0"/>
          <w:numId w:val="11"/>
        </w:numPr>
        <w:ind w:left="360"/>
      </w:pPr>
      <w:r>
        <w:t>S</w:t>
      </w:r>
      <w:r w:rsidR="000613C1">
        <w:t>acroiliac joint in</w:t>
      </w:r>
      <w:r w:rsidR="00927FB5">
        <w:t>jections</w:t>
      </w:r>
      <w:r w:rsidR="009D5928">
        <w:t xml:space="preserve"> </w:t>
      </w:r>
      <w:r w:rsidR="000613C1">
        <w:t>are</w:t>
      </w:r>
      <w:r w:rsidR="00C96847">
        <w:t xml:space="preserve"> </w:t>
      </w:r>
      <w:r w:rsidR="00C96847" w:rsidRPr="005D6347">
        <w:rPr>
          <w:b/>
        </w:rPr>
        <w:t>medically necessary</w:t>
      </w:r>
      <w:r w:rsidR="00C96847">
        <w:t xml:space="preserve"> </w:t>
      </w:r>
      <w:r w:rsidR="009D5928">
        <w:t>for the following indications</w:t>
      </w:r>
      <w:r w:rsidR="00C96847">
        <w:t>:</w:t>
      </w:r>
    </w:p>
    <w:p w14:paraId="461BDC3C" w14:textId="4DE077C9" w:rsidR="000613C1" w:rsidRPr="00FC1A07" w:rsidRDefault="000613C1" w:rsidP="000613C1">
      <w:pPr>
        <w:numPr>
          <w:ilvl w:val="0"/>
          <w:numId w:val="22"/>
        </w:numPr>
        <w:tabs>
          <w:tab w:val="left" w:pos="360"/>
        </w:tabs>
        <w:ind w:left="720"/>
        <w:rPr>
          <w:bCs/>
        </w:rPr>
      </w:pPr>
      <w:r w:rsidRPr="00927FB5">
        <w:rPr>
          <w:i/>
        </w:rPr>
        <w:t>One</w:t>
      </w:r>
      <w:r>
        <w:t xml:space="preserve"> </w:t>
      </w:r>
      <w:r>
        <w:rPr>
          <w:i/>
        </w:rPr>
        <w:t xml:space="preserve">diagnostic sacroiliac joint (SIJ) </w:t>
      </w:r>
      <w:r w:rsidRPr="00C57036">
        <w:rPr>
          <w:i/>
        </w:rPr>
        <w:t>injection</w:t>
      </w:r>
      <w:r>
        <w:rPr>
          <w:i/>
        </w:rPr>
        <w:t xml:space="preserve"> </w:t>
      </w:r>
      <w:r w:rsidRPr="00927FB5">
        <w:t>for SIJ pain</w:t>
      </w:r>
      <w:r w:rsidRPr="00927FB5">
        <w:rPr>
          <w:bCs/>
        </w:rPr>
        <w:t>:</w:t>
      </w:r>
    </w:p>
    <w:p w14:paraId="35DCCC67" w14:textId="37FEAF98" w:rsidR="000613C1" w:rsidRDefault="000613C1" w:rsidP="000613C1">
      <w:pPr>
        <w:numPr>
          <w:ilvl w:val="0"/>
          <w:numId w:val="23"/>
        </w:numPr>
        <w:ind w:left="1080"/>
      </w:pPr>
      <w:r>
        <w:t xml:space="preserve">Somatic or nonradicular low back and lower extremity pain below the level of L5 vertebra that interferes with </w:t>
      </w:r>
      <w:r w:rsidR="006969B2">
        <w:t>activities of daily living (</w:t>
      </w:r>
      <w:r>
        <w:t>ADLs</w:t>
      </w:r>
      <w:r w:rsidR="006969B2">
        <w:t>)</w:t>
      </w:r>
      <w:r>
        <w:t xml:space="preserve"> for at least 3 months;</w:t>
      </w:r>
    </w:p>
    <w:p w14:paraId="729A66C1" w14:textId="77777777" w:rsidR="000613C1" w:rsidRDefault="000613C1" w:rsidP="000613C1">
      <w:pPr>
        <w:numPr>
          <w:ilvl w:val="0"/>
          <w:numId w:val="23"/>
        </w:numPr>
        <w:ind w:left="1080"/>
      </w:pPr>
      <w:r>
        <w:t>Tenderness by palpation present over SIJ;</w:t>
      </w:r>
    </w:p>
    <w:p w14:paraId="2864E410" w14:textId="6AEA029A" w:rsidR="000613C1" w:rsidRPr="00FC1A07" w:rsidRDefault="000613C1" w:rsidP="000613C1">
      <w:pPr>
        <w:numPr>
          <w:ilvl w:val="0"/>
          <w:numId w:val="23"/>
        </w:numPr>
        <w:ind w:left="1080"/>
      </w:pPr>
      <w:r w:rsidRPr="00763089">
        <w:t xml:space="preserve">There is a positive response to at least three SIJ </w:t>
      </w:r>
      <w:r>
        <w:t>pain provocation tests</w:t>
      </w:r>
      <w:r w:rsidRPr="00763089">
        <w:t xml:space="preserve"> (</w:t>
      </w:r>
      <w:r>
        <w:t xml:space="preserve">distraction, compression, thigh thrust, Gaenslen’s, </w:t>
      </w:r>
      <w:r w:rsidR="00191CB8">
        <w:t xml:space="preserve">or </w:t>
      </w:r>
      <w:r>
        <w:t>sacral thrust</w:t>
      </w:r>
      <w:r w:rsidRPr="00763089">
        <w:t>)</w:t>
      </w:r>
      <w:r>
        <w:t>;</w:t>
      </w:r>
    </w:p>
    <w:p w14:paraId="418E0DA8" w14:textId="77777777" w:rsidR="000613C1" w:rsidRDefault="000613C1" w:rsidP="000613C1">
      <w:pPr>
        <w:numPr>
          <w:ilvl w:val="0"/>
          <w:numId w:val="23"/>
        </w:numPr>
        <w:ind w:left="1080"/>
      </w:pPr>
      <w:r>
        <w:t xml:space="preserve">The member has failed to respond to </w:t>
      </w:r>
      <w:r w:rsidRPr="00FC1A07">
        <w:t xml:space="preserve">conservative therapy </w:t>
      </w:r>
      <w:r>
        <w:t xml:space="preserve">including all of the following: </w:t>
      </w:r>
    </w:p>
    <w:p w14:paraId="01AEC9B1" w14:textId="77777777" w:rsidR="000613C1" w:rsidRPr="0024068F" w:rsidRDefault="000613C1" w:rsidP="000613C1">
      <w:pPr>
        <w:numPr>
          <w:ilvl w:val="1"/>
          <w:numId w:val="24"/>
        </w:numPr>
      </w:pPr>
      <w:r>
        <w:t>≥ 6 weeks chiropractic, p</w:t>
      </w:r>
      <w:r w:rsidRPr="00FC1A07">
        <w:t>hysical therapy</w:t>
      </w:r>
      <w:r>
        <w:t xml:space="preserve"> or prescribed home exercise program;</w:t>
      </w:r>
    </w:p>
    <w:p w14:paraId="297C2EBE" w14:textId="2D29FC74" w:rsidR="000613C1" w:rsidRDefault="006969B2" w:rsidP="000613C1">
      <w:pPr>
        <w:numPr>
          <w:ilvl w:val="1"/>
          <w:numId w:val="24"/>
        </w:numPr>
      </w:pPr>
      <w:r>
        <w:t>Nonsteroidal anti-inflammatory drugs (</w:t>
      </w:r>
      <w:r w:rsidR="000613C1">
        <w:t>NSAID</w:t>
      </w:r>
      <w:r>
        <w:t>s)</w:t>
      </w:r>
      <w:r w:rsidR="000613C1">
        <w:t xml:space="preserve"> ≥ 3 weeks or NSAID</w:t>
      </w:r>
      <w:r>
        <w:t>s</w:t>
      </w:r>
      <w:r w:rsidR="000613C1">
        <w:t xml:space="preserve"> contraindicated or not tolerated;</w:t>
      </w:r>
    </w:p>
    <w:p w14:paraId="1C1A05A5" w14:textId="77777777" w:rsidR="000613C1" w:rsidRPr="00BE5A5C" w:rsidRDefault="000613C1" w:rsidP="000613C1">
      <w:pPr>
        <w:numPr>
          <w:ilvl w:val="1"/>
          <w:numId w:val="24"/>
        </w:numPr>
      </w:pPr>
      <w:r>
        <w:t>≥ 6 weeks a</w:t>
      </w:r>
      <w:r w:rsidRPr="00FC1A07">
        <w:t>ctivity modification</w:t>
      </w:r>
      <w:r>
        <w:t>;</w:t>
      </w:r>
    </w:p>
    <w:p w14:paraId="2D575486" w14:textId="77777777" w:rsidR="000613C1" w:rsidRPr="0024068F" w:rsidRDefault="000613C1" w:rsidP="000613C1">
      <w:pPr>
        <w:numPr>
          <w:ilvl w:val="0"/>
          <w:numId w:val="23"/>
        </w:numPr>
        <w:ind w:left="1080"/>
      </w:pPr>
      <w:r>
        <w:t xml:space="preserve">Clinical findings and imaging studies, </w:t>
      </w:r>
      <w:r w:rsidRPr="00D36C32">
        <w:t>when available</w:t>
      </w:r>
      <w:r>
        <w:t>, lack obvious evidence for disc-related or facet joint pain;</w:t>
      </w:r>
    </w:p>
    <w:p w14:paraId="0A525A65" w14:textId="77777777" w:rsidR="000613C1" w:rsidRPr="006A09F4" w:rsidRDefault="000613C1" w:rsidP="000613C1">
      <w:pPr>
        <w:numPr>
          <w:ilvl w:val="0"/>
          <w:numId w:val="23"/>
        </w:numPr>
        <w:ind w:left="1080"/>
        <w:rPr>
          <w:i/>
        </w:rPr>
      </w:pPr>
      <w:r>
        <w:t xml:space="preserve">No other possible diagnosis is more likely. </w:t>
      </w:r>
    </w:p>
    <w:p w14:paraId="146293A2" w14:textId="77777777" w:rsidR="000613C1" w:rsidRPr="00FC1A07" w:rsidRDefault="000613C1" w:rsidP="000613C1">
      <w:pPr>
        <w:rPr>
          <w:b/>
          <w:bCs/>
        </w:rPr>
      </w:pPr>
    </w:p>
    <w:p w14:paraId="52C57B5B" w14:textId="6CB0B525" w:rsidR="00927FB5" w:rsidRPr="00927FB5" w:rsidRDefault="00927FB5" w:rsidP="000613C1">
      <w:pPr>
        <w:pStyle w:val="ListParagraph"/>
        <w:numPr>
          <w:ilvl w:val="0"/>
          <w:numId w:val="22"/>
        </w:numPr>
        <w:ind w:left="720"/>
        <w:rPr>
          <w:bCs/>
        </w:rPr>
      </w:pPr>
      <w:r>
        <w:rPr>
          <w:bCs/>
          <w:i/>
        </w:rPr>
        <w:t xml:space="preserve">A second diagnostic </w:t>
      </w:r>
      <w:r w:rsidRPr="00DB1032">
        <w:rPr>
          <w:bCs/>
        </w:rPr>
        <w:t>sacroiliac joint injection</w:t>
      </w:r>
      <w:r w:rsidR="006969B2" w:rsidRPr="00DB1032">
        <w:rPr>
          <w:bCs/>
        </w:rPr>
        <w:t xml:space="preserve"> </w:t>
      </w:r>
      <w:r w:rsidR="00DB1032">
        <w:rPr>
          <w:bCs/>
        </w:rPr>
        <w:t>when pain</w:t>
      </w:r>
      <w:r w:rsidR="006969B2" w:rsidRPr="00DB1032">
        <w:rPr>
          <w:bCs/>
        </w:rPr>
        <w:t xml:space="preserve"> </w:t>
      </w:r>
      <w:r w:rsidR="006969B2" w:rsidRPr="00DB1032">
        <w:rPr>
          <w:b/>
          <w:bCs/>
        </w:rPr>
        <w:t>did not</w:t>
      </w:r>
      <w:r w:rsidR="006969B2" w:rsidRPr="00DB1032">
        <w:rPr>
          <w:bCs/>
        </w:rPr>
        <w:t xml:space="preserve"> improve from the first SIJ injection </w:t>
      </w:r>
      <w:r w:rsidR="006969B2">
        <w:rPr>
          <w:bCs/>
        </w:rPr>
        <w:t>and at least 2 weeks have passed since the initial injection.</w:t>
      </w:r>
    </w:p>
    <w:p w14:paraId="49A33C13" w14:textId="77777777" w:rsidR="0097108A" w:rsidRDefault="0097108A" w:rsidP="0097108A">
      <w:pPr>
        <w:pStyle w:val="ListParagraph"/>
        <w:tabs>
          <w:tab w:val="left" w:pos="360"/>
        </w:tabs>
        <w:ind w:left="1080"/>
        <w:rPr>
          <w:bCs/>
        </w:rPr>
      </w:pPr>
    </w:p>
    <w:p w14:paraId="3ED1BAF5" w14:textId="2400065A" w:rsidR="0097108A" w:rsidRPr="0097108A" w:rsidRDefault="006969B2" w:rsidP="0097108A">
      <w:pPr>
        <w:pStyle w:val="ListParagraph"/>
        <w:numPr>
          <w:ilvl w:val="0"/>
          <w:numId w:val="22"/>
        </w:numPr>
        <w:tabs>
          <w:tab w:val="left" w:pos="360"/>
        </w:tabs>
        <w:ind w:left="720"/>
      </w:pPr>
      <w:r>
        <w:rPr>
          <w:bCs/>
          <w:i/>
        </w:rPr>
        <w:t xml:space="preserve">Subsequent </w:t>
      </w:r>
      <w:r w:rsidR="000613C1" w:rsidRPr="0097108A">
        <w:rPr>
          <w:bCs/>
          <w:i/>
        </w:rPr>
        <w:t>SIJ injections</w:t>
      </w:r>
      <w:r>
        <w:rPr>
          <w:bCs/>
          <w:i/>
        </w:rPr>
        <w:t xml:space="preserve"> </w:t>
      </w:r>
      <w:r w:rsidRPr="00DB1032">
        <w:rPr>
          <w:bCs/>
        </w:rPr>
        <w:t xml:space="preserve">for </w:t>
      </w:r>
      <w:r w:rsidR="00DB1032" w:rsidRPr="00DB1032">
        <w:rPr>
          <w:bCs/>
        </w:rPr>
        <w:t>re</w:t>
      </w:r>
      <w:r w:rsidRPr="00DB1032">
        <w:rPr>
          <w:bCs/>
        </w:rPr>
        <w:t>currence of pain</w:t>
      </w:r>
      <w:r w:rsidR="0097108A" w:rsidRPr="0097108A">
        <w:rPr>
          <w:bCs/>
        </w:rPr>
        <w:t>, all of the following:</w:t>
      </w:r>
    </w:p>
    <w:p w14:paraId="381C65D7" w14:textId="34918874" w:rsidR="000613C1" w:rsidRPr="00A62143" w:rsidRDefault="00DB1032" w:rsidP="0097108A">
      <w:pPr>
        <w:numPr>
          <w:ilvl w:val="1"/>
          <w:numId w:val="22"/>
        </w:numPr>
        <w:tabs>
          <w:tab w:val="left" w:pos="360"/>
        </w:tabs>
        <w:ind w:left="1080"/>
      </w:pPr>
      <w:r>
        <w:t>Initial injection(s) led to</w:t>
      </w:r>
      <w:r w:rsidR="000613C1" w:rsidRPr="00FC1A07">
        <w:t xml:space="preserve"> ≥ 50% relief</w:t>
      </w:r>
      <w:r w:rsidR="006969B2">
        <w:t xml:space="preserve"> and functional improvement</w:t>
      </w:r>
      <w:r w:rsidR="000613C1" w:rsidRPr="00FC1A07">
        <w:t xml:space="preserve"> for </w:t>
      </w:r>
      <w:r w:rsidR="000613C1">
        <w:t>at least 2 months</w:t>
      </w:r>
      <w:r w:rsidR="000613C1" w:rsidRPr="00FC1A07">
        <w:t>;</w:t>
      </w:r>
    </w:p>
    <w:p w14:paraId="347BC844" w14:textId="0A208FBD" w:rsidR="000613C1" w:rsidRPr="00FC1A07" w:rsidRDefault="0097108A" w:rsidP="0097108A">
      <w:pPr>
        <w:numPr>
          <w:ilvl w:val="1"/>
          <w:numId w:val="22"/>
        </w:numPr>
        <w:ind w:left="1080"/>
      </w:pPr>
      <w:r>
        <w:t>Request is for SIJ a</w:t>
      </w:r>
      <w:r w:rsidR="000613C1">
        <w:t>dministered</w:t>
      </w:r>
      <w:r w:rsidR="000613C1" w:rsidRPr="00A62143">
        <w:t xml:space="preserve"> for temporary relief of lower back pain in conjunction with other noninvasive treatment methods (e.g., to participate in physical therapy), and not as a stand-alone therapy</w:t>
      </w:r>
      <w:r w:rsidR="000613C1">
        <w:t>;</w:t>
      </w:r>
    </w:p>
    <w:p w14:paraId="0BBEA668" w14:textId="57314B81" w:rsidR="000613C1" w:rsidRPr="00FC1A07" w:rsidRDefault="000613C1" w:rsidP="0097108A">
      <w:pPr>
        <w:numPr>
          <w:ilvl w:val="1"/>
          <w:numId w:val="22"/>
        </w:numPr>
        <w:ind w:left="1080"/>
      </w:pPr>
      <w:r>
        <w:t>SIJ injection is</w:t>
      </w:r>
      <w:r w:rsidRPr="00FC1A07">
        <w:t xml:space="preserve"> given </w:t>
      </w:r>
      <w:r>
        <w:t xml:space="preserve">at intervals </w:t>
      </w:r>
      <w:r w:rsidR="0097108A">
        <w:t>at least</w:t>
      </w:r>
      <w:r>
        <w:t xml:space="preserve"> 2 months</w:t>
      </w:r>
      <w:r w:rsidR="0097108A">
        <w:t xml:space="preserve"> apart</w:t>
      </w:r>
      <w:r>
        <w:t>;</w:t>
      </w:r>
    </w:p>
    <w:p w14:paraId="7C8558B8" w14:textId="3C32EAEE" w:rsidR="000613C1" w:rsidRDefault="0097108A" w:rsidP="0097108A">
      <w:pPr>
        <w:numPr>
          <w:ilvl w:val="1"/>
          <w:numId w:val="22"/>
        </w:numPr>
        <w:ind w:left="1080"/>
      </w:pPr>
      <w:r>
        <w:lastRenderedPageBreak/>
        <w:t>Less than 4 therapeutic SIJ injections have been given at the same site in the last 12 months.</w:t>
      </w:r>
    </w:p>
    <w:p w14:paraId="613E797C" w14:textId="5911C3DC" w:rsidR="00927FB5" w:rsidRDefault="00927FB5" w:rsidP="000613C1">
      <w:pPr>
        <w:ind w:left="1440"/>
      </w:pPr>
    </w:p>
    <w:p w14:paraId="33AA8DB1" w14:textId="09535941" w:rsidR="00927FB5" w:rsidRPr="00927FB5" w:rsidRDefault="00927FB5" w:rsidP="00927FB5">
      <w:pPr>
        <w:pStyle w:val="ListParagraph"/>
        <w:numPr>
          <w:ilvl w:val="0"/>
          <w:numId w:val="11"/>
        </w:numPr>
        <w:tabs>
          <w:tab w:val="left" w:pos="360"/>
        </w:tabs>
        <w:rPr>
          <w:bCs/>
        </w:rPr>
      </w:pPr>
      <w:r>
        <w:t>It is the policy of healt</w:t>
      </w:r>
      <w:r w:rsidRPr="00FB2382">
        <w:t>h plans affiliated with Centene Corporation</w:t>
      </w:r>
      <w:r>
        <w:rPr>
          <w:i/>
        </w:rPr>
        <w:t xml:space="preserve"> </w:t>
      </w:r>
      <w:r w:rsidR="0097108A">
        <w:t>that if pain does not improve</w:t>
      </w:r>
      <w:r w:rsidR="00BF13AC">
        <w:t xml:space="preserve"> by </w:t>
      </w:r>
      <w:r w:rsidR="00BF13AC" w:rsidRPr="00FC1A07">
        <w:t>≥ 50%</w:t>
      </w:r>
      <w:r w:rsidRPr="00927FB5">
        <w:rPr>
          <w:bCs/>
        </w:rPr>
        <w:t xml:space="preserve"> after the </w:t>
      </w:r>
      <w:r w:rsidR="00BF13AC">
        <w:rPr>
          <w:bCs/>
        </w:rPr>
        <w:t xml:space="preserve">second </w:t>
      </w:r>
      <w:r w:rsidR="0097108A">
        <w:rPr>
          <w:bCs/>
        </w:rPr>
        <w:t>diagnostic SIJ</w:t>
      </w:r>
      <w:r w:rsidRPr="00927FB5">
        <w:rPr>
          <w:bCs/>
        </w:rPr>
        <w:t xml:space="preserve"> injections, </w:t>
      </w:r>
      <w:r w:rsidRPr="0097108A">
        <w:rPr>
          <w:bCs/>
          <w:i/>
        </w:rPr>
        <w:t xml:space="preserve">subsequent </w:t>
      </w:r>
      <w:r w:rsidR="0097108A">
        <w:rPr>
          <w:bCs/>
          <w:i/>
        </w:rPr>
        <w:t>SIJ injections</w:t>
      </w:r>
      <w:r w:rsidRPr="00927FB5">
        <w:rPr>
          <w:bCs/>
        </w:rPr>
        <w:t xml:space="preserve"> are </w:t>
      </w:r>
      <w:r w:rsidRPr="00927FB5">
        <w:rPr>
          <w:b/>
          <w:bCs/>
        </w:rPr>
        <w:t>not medically necessary</w:t>
      </w:r>
      <w:r w:rsidRPr="00927FB5">
        <w:rPr>
          <w:bCs/>
        </w:rPr>
        <w:t xml:space="preserve"> because effectiveness has not been established.</w:t>
      </w:r>
    </w:p>
    <w:p w14:paraId="1993B1E8" w14:textId="77777777" w:rsidR="00927FB5" w:rsidRDefault="00927FB5" w:rsidP="000613C1">
      <w:pPr>
        <w:ind w:left="1440"/>
      </w:pPr>
    </w:p>
    <w:p w14:paraId="22A98F78" w14:textId="4E2C9225" w:rsidR="000613C1" w:rsidRPr="00FC1A07" w:rsidRDefault="0097108A" w:rsidP="00927FB5">
      <w:pPr>
        <w:numPr>
          <w:ilvl w:val="0"/>
          <w:numId w:val="11"/>
        </w:numPr>
        <w:tabs>
          <w:tab w:val="left" w:pos="360"/>
        </w:tabs>
      </w:pPr>
      <w:r>
        <w:t>It is the policy of healt</w:t>
      </w:r>
      <w:r w:rsidRPr="00FB2382">
        <w:t>h plans affiliated with Centene Corporation</w:t>
      </w:r>
      <w:r>
        <w:rPr>
          <w:i/>
        </w:rPr>
        <w:t xml:space="preserve"> </w:t>
      </w:r>
      <w:r>
        <w:t>that c</w:t>
      </w:r>
      <w:r w:rsidR="000613C1">
        <w:rPr>
          <w:i/>
        </w:rPr>
        <w:t>ontinuation of</w:t>
      </w:r>
      <w:r w:rsidR="000613C1" w:rsidRPr="00076437">
        <w:rPr>
          <w:i/>
        </w:rPr>
        <w:t xml:space="preserve"> injections</w:t>
      </w:r>
      <w:r w:rsidR="000613C1" w:rsidRPr="00FC1A07">
        <w:t xml:space="preserve"> </w:t>
      </w:r>
      <w:r w:rsidR="000613C1">
        <w:t>beyond</w:t>
      </w:r>
      <w:r w:rsidR="000613C1" w:rsidRPr="00FC1A07">
        <w:t xml:space="preserve"> 12 months</w:t>
      </w:r>
      <w:r w:rsidR="000613C1">
        <w:t xml:space="preserve"> is</w:t>
      </w:r>
      <w:r w:rsidR="000613C1" w:rsidRPr="00FC1A07">
        <w:t xml:space="preserve"> </w:t>
      </w:r>
      <w:r w:rsidR="000613C1">
        <w:t xml:space="preserve">considered </w:t>
      </w:r>
      <w:r w:rsidR="000613C1">
        <w:rPr>
          <w:b/>
        </w:rPr>
        <w:t>not medically necessary</w:t>
      </w:r>
      <w:r w:rsidR="000613C1" w:rsidRPr="00FC1A07">
        <w:t xml:space="preserve"> </w:t>
      </w:r>
      <w:r w:rsidR="000613C1">
        <w:rPr>
          <w:bCs/>
        </w:rPr>
        <w:t>because effectiveness and safety ha</w:t>
      </w:r>
      <w:r w:rsidR="00DB1032">
        <w:rPr>
          <w:bCs/>
        </w:rPr>
        <w:t>ve</w:t>
      </w:r>
      <w:r w:rsidR="000613C1">
        <w:rPr>
          <w:bCs/>
        </w:rPr>
        <w:t xml:space="preserve"> not been established</w:t>
      </w:r>
      <w:r w:rsidR="000613C1" w:rsidRPr="00FC1A07">
        <w:rPr>
          <w:bCs/>
        </w:rPr>
        <w:t>.</w:t>
      </w:r>
      <w:r w:rsidR="000613C1">
        <w:rPr>
          <w:bCs/>
        </w:rPr>
        <w:t xml:space="preserve"> When more definitive therapies cannot be tolerated or provided, consideration will be made on a case by case basis.</w:t>
      </w:r>
    </w:p>
    <w:p w14:paraId="5DF1B58D" w14:textId="0DDBD1B8" w:rsidR="000613C1" w:rsidRPr="0024068F" w:rsidRDefault="000613C1" w:rsidP="00103475">
      <w:pPr>
        <w:tabs>
          <w:tab w:val="left" w:pos="360"/>
        </w:tabs>
      </w:pPr>
    </w:p>
    <w:p w14:paraId="1CCEBC97" w14:textId="2326B049" w:rsidR="000613C1" w:rsidRPr="00FC1A07" w:rsidRDefault="0097108A" w:rsidP="00927FB5">
      <w:pPr>
        <w:numPr>
          <w:ilvl w:val="0"/>
          <w:numId w:val="11"/>
        </w:numPr>
        <w:tabs>
          <w:tab w:val="left" w:pos="360"/>
        </w:tabs>
      </w:pPr>
      <w:r>
        <w:t>It is the policy of healt</w:t>
      </w:r>
      <w:r w:rsidRPr="00FB2382">
        <w:t>h plans affiliated with Centene Corporation</w:t>
      </w:r>
      <w:r>
        <w:rPr>
          <w:i/>
        </w:rPr>
        <w:t xml:space="preserve"> </w:t>
      </w:r>
      <w:r>
        <w:t>that r</w:t>
      </w:r>
      <w:r w:rsidR="000613C1" w:rsidRPr="0024068F">
        <w:rPr>
          <w:i/>
        </w:rPr>
        <w:t>adiofrequency neurotomy</w:t>
      </w:r>
      <w:r w:rsidR="000613C1" w:rsidRPr="0024068F">
        <w:t xml:space="preserve"> </w:t>
      </w:r>
      <w:r w:rsidR="000613C1" w:rsidRPr="00932E40">
        <w:rPr>
          <w:i/>
        </w:rPr>
        <w:t>(conventional, cooled, and pulsed)</w:t>
      </w:r>
      <w:r w:rsidR="000613C1">
        <w:t xml:space="preserve"> of the SIJ </w:t>
      </w:r>
      <w:r w:rsidR="000613C1" w:rsidRPr="0024068F">
        <w:t xml:space="preserve">is considered </w:t>
      </w:r>
      <w:r w:rsidR="000613C1">
        <w:rPr>
          <w:b/>
        </w:rPr>
        <w:t>not medically necessary</w:t>
      </w:r>
      <w:r w:rsidR="000613C1" w:rsidRPr="00FC1A07">
        <w:t xml:space="preserve"> </w:t>
      </w:r>
      <w:r w:rsidR="000613C1">
        <w:t xml:space="preserve">because effectiveness has not been established. High-quality studies are lacking for conventional and pulsed radiofrequency neurotomy of the SIJ. For cooled radiofrequency neurotomy, additional well-designed studies are needed to evaluate effectiveness. </w:t>
      </w:r>
    </w:p>
    <w:p w14:paraId="27A86F41" w14:textId="6D34CE60" w:rsidR="00FB139B" w:rsidRDefault="00FB139B" w:rsidP="003840CC">
      <w:pPr>
        <w:rPr>
          <w:bCs/>
          <w:color w:val="000000"/>
        </w:rPr>
      </w:pPr>
    </w:p>
    <w:p w14:paraId="03C0E9B5" w14:textId="77777777" w:rsidR="00FB0592" w:rsidRDefault="00FB0592" w:rsidP="00FB0592">
      <w:pPr>
        <w:pStyle w:val="Heading2"/>
        <w:rPr>
          <w:u w:val="none"/>
        </w:rPr>
      </w:pPr>
      <w:r w:rsidRPr="00B777AF">
        <w:rPr>
          <w:u w:val="none"/>
        </w:rPr>
        <w:t>Background</w:t>
      </w:r>
    </w:p>
    <w:p w14:paraId="3FFE5EE9" w14:textId="77777777" w:rsidR="0007420A" w:rsidRPr="00B970E3" w:rsidRDefault="0007420A" w:rsidP="0007420A">
      <w:pPr>
        <w:rPr>
          <w:i/>
        </w:rPr>
      </w:pPr>
      <w:r w:rsidRPr="00516580">
        <w:rPr>
          <w:i/>
        </w:rPr>
        <w:t>Sacroiliac Joint Injections</w:t>
      </w:r>
    </w:p>
    <w:p w14:paraId="1C8BDCED" w14:textId="71A300E5" w:rsidR="0007420A" w:rsidRDefault="0007420A" w:rsidP="0007420A">
      <w:r w:rsidRPr="00312F72">
        <w:t xml:space="preserve">Treatment for sacroiliac joint dysfunction is usually conservative (non-surgical) and focuses on trying to restore normal motion in the joint. In patients who have failed 4 to 6 weeks of a comprehensive exercise program, local icing, mobilization/manipulation and </w:t>
      </w:r>
      <w:r>
        <w:t>NSAIDs</w:t>
      </w:r>
      <w:r w:rsidRPr="00312F72">
        <w:t>, a</w:t>
      </w:r>
      <w:r>
        <w:t>n</w:t>
      </w:r>
      <w:r w:rsidRPr="00312F72">
        <w:t xml:space="preserve"> </w:t>
      </w:r>
      <w:r>
        <w:t>SIJ</w:t>
      </w:r>
      <w:r w:rsidRPr="00312F72">
        <w:t xml:space="preserve"> injection can be helpful for both diagnostic and therapeutic purposes. </w:t>
      </w:r>
      <w:r>
        <w:t>SIJ</w:t>
      </w:r>
      <w:r w:rsidRPr="00312F72">
        <w:t xml:space="preserve"> injections into the synovial sac of the </w:t>
      </w:r>
      <w:r>
        <w:t>SIJ</w:t>
      </w:r>
      <w:r w:rsidRPr="00312F72">
        <w:t xml:space="preserve"> may provide immediate and sign</w:t>
      </w:r>
      <w:r>
        <w:t>ificant pain relief. At least 50</w:t>
      </w:r>
      <w:r w:rsidRPr="00312F72">
        <w:t xml:space="preserve">% resolution of the patient’s pain over the ipsilateral </w:t>
      </w:r>
      <w:r>
        <w:t>SIJ</w:t>
      </w:r>
      <w:r w:rsidRPr="00312F72">
        <w:t xml:space="preserve"> is considered diagnostic of pain emanating from the </w:t>
      </w:r>
      <w:r>
        <w:t>SIJ</w:t>
      </w:r>
      <w:r w:rsidRPr="00312F72">
        <w:t>. Adding a steroid to the solution injected may help to reduce any inflammation that may exist within the joint(s) and result in a prolonged period of freedom from pain.</w:t>
      </w:r>
    </w:p>
    <w:p w14:paraId="3CA72021" w14:textId="15D38585" w:rsidR="0007420A" w:rsidRDefault="0007420A" w:rsidP="0007420A"/>
    <w:p w14:paraId="6EB5FCE8" w14:textId="0E4AC69E" w:rsidR="00E03AD5" w:rsidRPr="004B508F" w:rsidRDefault="00E03AD5" w:rsidP="0007420A">
      <w:r>
        <w:t>Several studies without control groups have concluded that SIJ injections</w:t>
      </w:r>
      <w:r w:rsidR="004B508F">
        <w:t xml:space="preserve"> improve pain in the short term.</w:t>
      </w:r>
      <w:r w:rsidR="004B508F">
        <w:rPr>
          <w:vertAlign w:val="superscript"/>
        </w:rPr>
        <w:t xml:space="preserve">1 </w:t>
      </w:r>
      <w:r w:rsidR="005A1D15">
        <w:t>However, t</w:t>
      </w:r>
      <w:r w:rsidR="004B508F">
        <w:t>he majority of studies have small sample sizes and most lack comparison to standard interventions such as physical therapy</w:t>
      </w:r>
      <w:r w:rsidR="00A16664">
        <w:t>.</w:t>
      </w:r>
      <w:r w:rsidR="004B508F">
        <w:t xml:space="preserve"> </w:t>
      </w:r>
    </w:p>
    <w:p w14:paraId="4A9BFB43" w14:textId="77777777" w:rsidR="00E03AD5" w:rsidRDefault="00E03AD5" w:rsidP="0007420A"/>
    <w:p w14:paraId="59B1D430" w14:textId="44A9BB3E" w:rsidR="00A55907" w:rsidRPr="00A16664" w:rsidRDefault="00A16664" w:rsidP="0007420A">
      <w:pPr>
        <w:rPr>
          <w:vertAlign w:val="superscript"/>
        </w:rPr>
      </w:pPr>
      <w:r>
        <w:t xml:space="preserve">A study by Visser et al. evaluated the effect of manual therapy and physiotherapy versus SIJ injection for low back </w:t>
      </w:r>
      <w:r w:rsidR="00A63E27">
        <w:t xml:space="preserve">and leg </w:t>
      </w:r>
      <w:r>
        <w:t xml:space="preserve">pain using </w:t>
      </w:r>
      <w:r w:rsidR="0007420A" w:rsidRPr="00312F72">
        <w:t>a single-blinded randomized trial</w:t>
      </w:r>
      <w:r>
        <w:t xml:space="preserve"> of treatment for</w:t>
      </w:r>
      <w:r w:rsidR="0007420A" w:rsidRPr="00312F72">
        <w:t xml:space="preserve"> 51 patients with SIJ-related leg pain. The effect of the treatment was evaluated after 6 and 12 weeks.</w:t>
      </w:r>
      <w:r w:rsidR="0007420A">
        <w:t xml:space="preserve"> </w:t>
      </w:r>
      <w:r w:rsidR="0007420A" w:rsidRPr="00312F72">
        <w:t>Manual therapy had a significantly better success rate than physiotherapy (p = 0.003). The authors concluded in the small single-blinded prospective study, manual therapy appeared to be the choice of treatment for patients with SIJ-related leg pain.</w:t>
      </w:r>
      <w:r>
        <w:rPr>
          <w:vertAlign w:val="superscript"/>
        </w:rPr>
        <w:t>2</w:t>
      </w:r>
      <w:r w:rsidR="0007420A" w:rsidRPr="00312F72">
        <w:t xml:space="preserve"> A second choice of treatment to be considered is an intra-articular injection.</w:t>
      </w:r>
      <w:r>
        <w:rPr>
          <w:vertAlign w:val="superscript"/>
        </w:rPr>
        <w:t>2</w:t>
      </w:r>
      <w:r w:rsidR="00A63E27">
        <w:rPr>
          <w:vertAlign w:val="superscript"/>
        </w:rPr>
        <w:t xml:space="preserve"> </w:t>
      </w:r>
    </w:p>
    <w:p w14:paraId="2CBD4DD7" w14:textId="1C9ED30A" w:rsidR="009D5928" w:rsidRDefault="009D5928">
      <w:pPr>
        <w:rPr>
          <w:i/>
        </w:rPr>
      </w:pPr>
    </w:p>
    <w:p w14:paraId="1412DD1C" w14:textId="50FA5D37" w:rsidR="0007420A" w:rsidRDefault="0007420A">
      <w:pPr>
        <w:rPr>
          <w:i/>
        </w:rPr>
      </w:pPr>
      <w:r w:rsidRPr="00FD540B">
        <w:rPr>
          <w:i/>
        </w:rPr>
        <w:t>SIJ Radiofrequency Neurotomy</w:t>
      </w:r>
    </w:p>
    <w:p w14:paraId="2FD6E671" w14:textId="26D946B9" w:rsidR="0007420A" w:rsidRPr="006744F1" w:rsidRDefault="00C86ED5">
      <w:pPr>
        <w:rPr>
          <w:vertAlign w:val="superscript"/>
        </w:rPr>
      </w:pPr>
      <w:r>
        <w:t>A growing number of studies have assessed the effect of treatment with radiofrequency denervation on SIJ pain</w:t>
      </w:r>
      <w:r w:rsidR="00561BB4">
        <w:t>, with mixed results. One study found no d</w:t>
      </w:r>
      <w:r w:rsidR="00690AA5">
        <w:t>ifference between conventional radiofrequency ablation (RFA)</w:t>
      </w:r>
      <w:r w:rsidR="00561BB4">
        <w:t xml:space="preserve"> and a sham treatment on pain relief</w:t>
      </w:r>
      <w:r>
        <w:t>.</w:t>
      </w:r>
      <w:r w:rsidR="00561BB4">
        <w:rPr>
          <w:vertAlign w:val="superscript"/>
        </w:rPr>
        <w:t>3</w:t>
      </w:r>
      <w:r>
        <w:t xml:space="preserve"> </w:t>
      </w:r>
      <w:r w:rsidR="006C460B">
        <w:t xml:space="preserve">A 2017 </w:t>
      </w:r>
      <w:r w:rsidR="006C460B">
        <w:lastRenderedPageBreak/>
        <w:t>publication of 3 randomized controlled trials of 681 participants with chronic low back pain found no statistically significant improvement in pain from treatment with a standardized exercise program plus RFA, versus the standardized exercise program alone.</w:t>
      </w:r>
      <w:r w:rsidR="006C460B">
        <w:rPr>
          <w:vertAlign w:val="superscript"/>
        </w:rPr>
        <w:t>4</w:t>
      </w:r>
      <w:r w:rsidR="006C460B">
        <w:t xml:space="preserve"> A few fair to poor quality studies, as rated by Hayes, found positive results from conventional and cooled RFA.</w:t>
      </w:r>
      <w:r w:rsidR="006C460B" w:rsidRPr="006744F1">
        <w:rPr>
          <w:vertAlign w:val="superscript"/>
        </w:rPr>
        <w:t>1</w:t>
      </w:r>
      <w:r w:rsidR="006C460B">
        <w:t xml:space="preserve"> </w:t>
      </w:r>
      <w:r w:rsidR="00561BB4">
        <w:t>The American Society of Interventional Pain Physicians’ 2013 guidelines rate the evidence for cooled RFA as fair, and limited for conventional and pulsed RFA.</w:t>
      </w:r>
      <w:r w:rsidR="006C460B">
        <w:rPr>
          <w:vertAlign w:val="superscript"/>
        </w:rPr>
        <w:t>5</w:t>
      </w:r>
      <w:r w:rsidR="00561BB4">
        <w:rPr>
          <w:vertAlign w:val="superscript"/>
        </w:rPr>
        <w:t xml:space="preserve"> </w:t>
      </w:r>
      <w:r w:rsidR="00561BB4">
        <w:t xml:space="preserve"> </w:t>
      </w:r>
      <w:r w:rsidR="006C460B">
        <w:t>Due to varying anatomy, there is no standard approach to denervation of the sacroiliac joint, nor clearly defined criteria for patient selection.</w:t>
      </w:r>
      <w:r w:rsidR="006C460B">
        <w:rPr>
          <w:vertAlign w:val="superscript"/>
        </w:rPr>
        <w:t>1</w:t>
      </w:r>
    </w:p>
    <w:p w14:paraId="271BC955" w14:textId="77777777" w:rsidR="0097108A" w:rsidRPr="000465DE" w:rsidRDefault="0097108A">
      <w:pPr>
        <w:rPr>
          <w:b/>
          <w:bCs/>
        </w:rPr>
      </w:pPr>
    </w:p>
    <w:p w14:paraId="755FF9B5" w14:textId="77777777" w:rsidR="00170B14" w:rsidRPr="00B777AF" w:rsidRDefault="00170B14" w:rsidP="00170B14">
      <w:pPr>
        <w:rPr>
          <w:b/>
        </w:rPr>
      </w:pPr>
      <w:bookmarkStart w:id="0" w:name="Coding_Implications"/>
      <w:r w:rsidRPr="00B777AF">
        <w:rPr>
          <w:b/>
        </w:rPr>
        <w:t>Coding Implications</w:t>
      </w:r>
    </w:p>
    <w:bookmarkEnd w:id="0"/>
    <w:p w14:paraId="7DFB9554" w14:textId="65C029F8"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w:t>
      </w:r>
      <w:r w:rsidR="006126B6" w:rsidRPr="00507DC0">
        <w:t>201</w:t>
      </w:r>
      <w:r w:rsidR="006126B6">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379CAC08" w14:textId="77777777" w:rsidR="00AF5490" w:rsidRPr="00A85489" w:rsidRDefault="00AF5490" w:rsidP="00AF5490"/>
    <w:tbl>
      <w:tblPr>
        <w:tblStyle w:val="TableGrid"/>
        <w:tblW w:w="5099" w:type="pct"/>
        <w:tblLook w:val="0020" w:firstRow="1" w:lastRow="0" w:firstColumn="0" w:lastColumn="0" w:noHBand="0" w:noVBand="0"/>
      </w:tblPr>
      <w:tblGrid>
        <w:gridCol w:w="1098"/>
        <w:gridCol w:w="8437"/>
      </w:tblGrid>
      <w:tr w:rsidR="00B777AF" w:rsidRPr="00B777AF" w14:paraId="54321C74" w14:textId="77777777" w:rsidTr="00DB1032">
        <w:trPr>
          <w:tblHeader/>
        </w:trPr>
        <w:tc>
          <w:tcPr>
            <w:tcW w:w="1098" w:type="dxa"/>
            <w:shd w:val="clear" w:color="auto" w:fill="00548C"/>
          </w:tcPr>
          <w:p w14:paraId="108073C5" w14:textId="77777777" w:rsidR="00D36448" w:rsidRPr="00B777AF" w:rsidRDefault="00D36448" w:rsidP="003760F4">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8437" w:type="dxa"/>
            <w:shd w:val="clear" w:color="auto" w:fill="00548C"/>
          </w:tcPr>
          <w:p w14:paraId="2AE5FD45" w14:textId="77777777" w:rsidR="00D36448" w:rsidRPr="00B777AF" w:rsidRDefault="00D36448" w:rsidP="003760F4">
            <w:pPr>
              <w:rPr>
                <w:b/>
                <w:bCs/>
                <w:color w:val="FFFFFF" w:themeColor="background1"/>
              </w:rPr>
            </w:pPr>
            <w:r w:rsidRPr="00B777AF">
              <w:rPr>
                <w:b/>
                <w:color w:val="FFFFFF" w:themeColor="background1"/>
              </w:rPr>
              <w:t>Description</w:t>
            </w:r>
          </w:p>
        </w:tc>
      </w:tr>
      <w:tr w:rsidR="009665D8" w:rsidRPr="005144C0" w14:paraId="49BFA406" w14:textId="77777777" w:rsidTr="00DB1032">
        <w:tc>
          <w:tcPr>
            <w:tcW w:w="1098" w:type="dxa"/>
          </w:tcPr>
          <w:p w14:paraId="217A668F" w14:textId="0C58EF56" w:rsidR="009665D8" w:rsidRPr="009665D8" w:rsidRDefault="009665D8" w:rsidP="009665D8">
            <w:r w:rsidRPr="006744F1">
              <w:t>27096</w:t>
            </w:r>
          </w:p>
        </w:tc>
        <w:tc>
          <w:tcPr>
            <w:tcW w:w="8437" w:type="dxa"/>
          </w:tcPr>
          <w:p w14:paraId="6FBD3C4F" w14:textId="4AE27B2D" w:rsidR="009665D8" w:rsidRPr="009665D8" w:rsidRDefault="009665D8" w:rsidP="009665D8">
            <w:r w:rsidRPr="006744F1">
              <w:t>Injection procedure for sacroiliac joint, anesthetic/steroid, with image guidance (fluoroscopy or CT) including arthrography when performed</w:t>
            </w:r>
          </w:p>
        </w:tc>
      </w:tr>
    </w:tbl>
    <w:p w14:paraId="580467CC" w14:textId="77777777" w:rsidR="00AF5490" w:rsidRDefault="00AF5490" w:rsidP="00AF5490"/>
    <w:tbl>
      <w:tblPr>
        <w:tblStyle w:val="TableGrid"/>
        <w:tblW w:w="5147" w:type="pct"/>
        <w:tblLook w:val="0020" w:firstRow="1" w:lastRow="0" w:firstColumn="0" w:lastColumn="0" w:noHBand="0" w:noVBand="0"/>
      </w:tblPr>
      <w:tblGrid>
        <w:gridCol w:w="1124"/>
        <w:gridCol w:w="8501"/>
      </w:tblGrid>
      <w:tr w:rsidR="003F3D44" w:rsidRPr="00B777AF" w14:paraId="52B87D3A" w14:textId="77777777" w:rsidTr="00DB1032">
        <w:trPr>
          <w:tblHeader/>
        </w:trPr>
        <w:tc>
          <w:tcPr>
            <w:tcW w:w="1124" w:type="dxa"/>
            <w:shd w:val="clear" w:color="auto" w:fill="00548C"/>
          </w:tcPr>
          <w:p w14:paraId="3C0EF359" w14:textId="77777777" w:rsidR="003F3D44" w:rsidRPr="00B777AF" w:rsidRDefault="003F3D44" w:rsidP="003760F4">
            <w:pPr>
              <w:rPr>
                <w:b/>
                <w:bCs/>
                <w:color w:val="FFFFFF" w:themeColor="background1"/>
              </w:rPr>
            </w:pPr>
            <w:r>
              <w:rPr>
                <w:b/>
                <w:color w:val="FFFFFF" w:themeColor="background1"/>
              </w:rPr>
              <w:t>HCPCS</w:t>
            </w:r>
            <w:r w:rsidRPr="00B777AF">
              <w:rPr>
                <w:b/>
                <w:color w:val="FFFFFF" w:themeColor="background1"/>
              </w:rPr>
              <w:t xml:space="preserve"> Codes </w:t>
            </w:r>
          </w:p>
        </w:tc>
        <w:tc>
          <w:tcPr>
            <w:tcW w:w="8501" w:type="dxa"/>
            <w:shd w:val="clear" w:color="auto" w:fill="00548C"/>
          </w:tcPr>
          <w:p w14:paraId="249A68F0" w14:textId="77777777" w:rsidR="003F3D44" w:rsidRPr="00B777AF" w:rsidRDefault="003F3D44" w:rsidP="003760F4">
            <w:pPr>
              <w:rPr>
                <w:b/>
                <w:bCs/>
                <w:color w:val="FFFFFF" w:themeColor="background1"/>
              </w:rPr>
            </w:pPr>
            <w:r w:rsidRPr="00B777AF">
              <w:rPr>
                <w:b/>
                <w:color w:val="FFFFFF" w:themeColor="background1"/>
              </w:rPr>
              <w:t>Description</w:t>
            </w:r>
          </w:p>
        </w:tc>
      </w:tr>
      <w:tr w:rsidR="003F3D44" w:rsidRPr="005144C0" w14:paraId="58827582" w14:textId="77777777" w:rsidTr="00DB1032">
        <w:tc>
          <w:tcPr>
            <w:tcW w:w="1124" w:type="dxa"/>
          </w:tcPr>
          <w:p w14:paraId="0AA90333" w14:textId="1816F73F" w:rsidR="003F3D44" w:rsidRPr="005144C0" w:rsidRDefault="00FA28D8" w:rsidP="00FA28D8">
            <w:pPr>
              <w:rPr>
                <w:bCs/>
              </w:rPr>
            </w:pPr>
            <w:r>
              <w:rPr>
                <w:bCs/>
              </w:rPr>
              <w:t>G0260</w:t>
            </w:r>
          </w:p>
        </w:tc>
        <w:tc>
          <w:tcPr>
            <w:tcW w:w="8501" w:type="dxa"/>
          </w:tcPr>
          <w:p w14:paraId="10EC68F0" w14:textId="19428C29" w:rsidR="003F3D44" w:rsidRPr="005144C0" w:rsidRDefault="00FA28D8" w:rsidP="003760F4">
            <w:pPr>
              <w:rPr>
                <w:bCs/>
              </w:rPr>
            </w:pPr>
            <w:r>
              <w:rPr>
                <w:bCs/>
              </w:rPr>
              <w:t>I</w:t>
            </w:r>
            <w:r w:rsidRPr="00FA28D8">
              <w:rPr>
                <w:bCs/>
              </w:rPr>
              <w:t>njection procedure for sacroiliac joint; provision of anesthetic, steroid and/or other therapeutic agent, with or without arthrography</w:t>
            </w:r>
          </w:p>
        </w:tc>
      </w:tr>
    </w:tbl>
    <w:p w14:paraId="1FE2F084" w14:textId="77777777" w:rsidR="003F3D44" w:rsidRDefault="003F3D44" w:rsidP="00AF5490"/>
    <w:p w14:paraId="6031CE32" w14:textId="77777777" w:rsidR="00350F22" w:rsidRDefault="00350F22" w:rsidP="00AF5490">
      <w:pPr>
        <w:rPr>
          <w:b/>
        </w:rPr>
      </w:pPr>
      <w:r w:rsidRPr="00350F22">
        <w:rPr>
          <w:b/>
        </w:rPr>
        <w:t>ICD-10-CM Diagnosis Codes that Support Coverage Criteria</w:t>
      </w:r>
    </w:p>
    <w:p w14:paraId="4C34DDCE" w14:textId="232DF3BE" w:rsidR="004C7108" w:rsidRPr="004C7108" w:rsidRDefault="004C7108" w:rsidP="00AF5490">
      <w:r w:rsidRPr="004C7108">
        <w:t>+ Indicates a code requiring an additional character</w:t>
      </w:r>
    </w:p>
    <w:tbl>
      <w:tblPr>
        <w:tblStyle w:val="TableGrid"/>
        <w:tblW w:w="5147" w:type="pct"/>
        <w:tblLook w:val="0020" w:firstRow="1" w:lastRow="0" w:firstColumn="0" w:lastColumn="0" w:noHBand="0" w:noVBand="0"/>
      </w:tblPr>
      <w:tblGrid>
        <w:gridCol w:w="1834"/>
        <w:gridCol w:w="7791"/>
      </w:tblGrid>
      <w:tr w:rsidR="00350F22" w:rsidRPr="00B777AF" w14:paraId="730EE2E8" w14:textId="77777777" w:rsidTr="00DB1032">
        <w:trPr>
          <w:tblHeader/>
        </w:trPr>
        <w:tc>
          <w:tcPr>
            <w:tcW w:w="1834" w:type="dxa"/>
            <w:shd w:val="clear" w:color="auto" w:fill="00548C"/>
          </w:tcPr>
          <w:p w14:paraId="71C0309F" w14:textId="77777777" w:rsidR="00350F22" w:rsidRPr="00350F22" w:rsidRDefault="00350F22" w:rsidP="00350F22">
            <w:pPr>
              <w:rPr>
                <w:b/>
                <w:bCs/>
                <w:color w:val="FFFFFF"/>
              </w:rPr>
            </w:pPr>
            <w:r>
              <w:rPr>
                <w:b/>
                <w:color w:val="FFFFFF"/>
              </w:rPr>
              <w:t>ICD-10-CM Code</w:t>
            </w:r>
          </w:p>
        </w:tc>
        <w:tc>
          <w:tcPr>
            <w:tcW w:w="7791" w:type="dxa"/>
            <w:shd w:val="clear" w:color="auto" w:fill="00548C"/>
          </w:tcPr>
          <w:p w14:paraId="75164981" w14:textId="77777777" w:rsidR="00350F22" w:rsidRPr="00350F22" w:rsidRDefault="00350F22" w:rsidP="003760F4">
            <w:pPr>
              <w:rPr>
                <w:b/>
                <w:bCs/>
                <w:color w:val="FFFFFF"/>
              </w:rPr>
            </w:pPr>
            <w:r w:rsidRPr="00350F22">
              <w:rPr>
                <w:b/>
                <w:color w:val="FFFFFF"/>
              </w:rPr>
              <w:t>Description</w:t>
            </w:r>
          </w:p>
        </w:tc>
      </w:tr>
      <w:tr w:rsidR="005B6F05" w:rsidRPr="00F82927" w14:paraId="2767B471" w14:textId="77777777" w:rsidTr="00DB1032">
        <w:tc>
          <w:tcPr>
            <w:tcW w:w="1834" w:type="dxa"/>
          </w:tcPr>
          <w:p w14:paraId="0F33E94D" w14:textId="77777777" w:rsidR="005B6F05" w:rsidRDefault="005B6F05" w:rsidP="003760F4">
            <w:pPr>
              <w:rPr>
                <w:bCs/>
              </w:rPr>
            </w:pPr>
            <w:r>
              <w:rPr>
                <w:bCs/>
              </w:rPr>
              <w:t>M43.08</w:t>
            </w:r>
          </w:p>
        </w:tc>
        <w:tc>
          <w:tcPr>
            <w:tcW w:w="7791" w:type="dxa"/>
          </w:tcPr>
          <w:p w14:paraId="5589ED76" w14:textId="77777777" w:rsidR="005B6F05" w:rsidRPr="00F82927" w:rsidRDefault="005B6F05" w:rsidP="003760F4">
            <w:pPr>
              <w:rPr>
                <w:bCs/>
              </w:rPr>
            </w:pPr>
            <w:r w:rsidRPr="00B1173F">
              <w:rPr>
                <w:bCs/>
              </w:rPr>
              <w:t>Spondylolysis, sacral and sacrococcygeal region</w:t>
            </w:r>
          </w:p>
        </w:tc>
      </w:tr>
      <w:tr w:rsidR="005B6F05" w:rsidRPr="00150055" w14:paraId="0E3E1ED5" w14:textId="77777777" w:rsidTr="00DB1032">
        <w:tc>
          <w:tcPr>
            <w:tcW w:w="1834" w:type="dxa"/>
          </w:tcPr>
          <w:p w14:paraId="50820E18" w14:textId="77777777" w:rsidR="005B6F05" w:rsidRDefault="005B6F05" w:rsidP="003760F4">
            <w:pPr>
              <w:rPr>
                <w:bCs/>
              </w:rPr>
            </w:pPr>
            <w:r>
              <w:rPr>
                <w:bCs/>
              </w:rPr>
              <w:t>M46.1</w:t>
            </w:r>
          </w:p>
        </w:tc>
        <w:tc>
          <w:tcPr>
            <w:tcW w:w="7791" w:type="dxa"/>
          </w:tcPr>
          <w:p w14:paraId="28638DA8" w14:textId="77777777" w:rsidR="005B6F05" w:rsidRPr="00150055" w:rsidRDefault="005B6F05" w:rsidP="003760F4">
            <w:pPr>
              <w:rPr>
                <w:bCs/>
              </w:rPr>
            </w:pPr>
            <w:r w:rsidRPr="00F82927">
              <w:rPr>
                <w:bCs/>
              </w:rPr>
              <w:t>Sacroiliitis, not elsewhere classified</w:t>
            </w:r>
          </w:p>
        </w:tc>
      </w:tr>
      <w:tr w:rsidR="005B6F05" w:rsidRPr="00F82927" w14:paraId="29A1898A" w14:textId="77777777" w:rsidTr="00DB1032">
        <w:tc>
          <w:tcPr>
            <w:tcW w:w="1834" w:type="dxa"/>
          </w:tcPr>
          <w:p w14:paraId="003178B8" w14:textId="77777777" w:rsidR="005B6F05" w:rsidRDefault="005B6F05" w:rsidP="003760F4">
            <w:pPr>
              <w:rPr>
                <w:bCs/>
              </w:rPr>
            </w:pPr>
            <w:r>
              <w:rPr>
                <w:bCs/>
              </w:rPr>
              <w:t>M47.818</w:t>
            </w:r>
          </w:p>
        </w:tc>
        <w:tc>
          <w:tcPr>
            <w:tcW w:w="7791" w:type="dxa"/>
          </w:tcPr>
          <w:p w14:paraId="04F0EC2F" w14:textId="77777777" w:rsidR="005B6F05" w:rsidRPr="00F82927" w:rsidRDefault="005B6F05" w:rsidP="003760F4">
            <w:pPr>
              <w:rPr>
                <w:bCs/>
              </w:rPr>
            </w:pPr>
            <w:r w:rsidRPr="009314D9">
              <w:rPr>
                <w:bCs/>
              </w:rPr>
              <w:t>Spondylosis without myelopathy or radiculopathy, sacral and sacrococcygeal region</w:t>
            </w:r>
          </w:p>
        </w:tc>
      </w:tr>
      <w:tr w:rsidR="005B6F05" w:rsidRPr="00150055" w14:paraId="200A7A12" w14:textId="77777777" w:rsidTr="00DB1032">
        <w:tc>
          <w:tcPr>
            <w:tcW w:w="1834" w:type="dxa"/>
          </w:tcPr>
          <w:p w14:paraId="35263967" w14:textId="77777777" w:rsidR="005B6F05" w:rsidRDefault="005B6F05" w:rsidP="003760F4">
            <w:pPr>
              <w:rPr>
                <w:bCs/>
              </w:rPr>
            </w:pPr>
            <w:r>
              <w:rPr>
                <w:bCs/>
              </w:rPr>
              <w:t>M53.3</w:t>
            </w:r>
          </w:p>
        </w:tc>
        <w:tc>
          <w:tcPr>
            <w:tcW w:w="7791" w:type="dxa"/>
          </w:tcPr>
          <w:p w14:paraId="1674F5E8" w14:textId="77777777" w:rsidR="005B6F05" w:rsidRPr="00150055" w:rsidRDefault="005B6F05" w:rsidP="003760F4">
            <w:pPr>
              <w:rPr>
                <w:bCs/>
              </w:rPr>
            </w:pPr>
            <w:r w:rsidRPr="00F82927">
              <w:rPr>
                <w:bCs/>
              </w:rPr>
              <w:t>Sacrococcygeal disorders, not elsewhere classified</w:t>
            </w:r>
          </w:p>
        </w:tc>
      </w:tr>
      <w:tr w:rsidR="005B6F05" w:rsidRPr="00150055" w14:paraId="3E56A2FA" w14:textId="77777777" w:rsidTr="00DB1032">
        <w:tc>
          <w:tcPr>
            <w:tcW w:w="1834" w:type="dxa"/>
          </w:tcPr>
          <w:p w14:paraId="4CF9C9E2" w14:textId="77777777" w:rsidR="005B6F05" w:rsidRDefault="005B6F05" w:rsidP="003760F4">
            <w:pPr>
              <w:rPr>
                <w:bCs/>
              </w:rPr>
            </w:pPr>
            <w:r>
              <w:rPr>
                <w:bCs/>
              </w:rPr>
              <w:t>M53.87</w:t>
            </w:r>
          </w:p>
        </w:tc>
        <w:tc>
          <w:tcPr>
            <w:tcW w:w="7791" w:type="dxa"/>
          </w:tcPr>
          <w:p w14:paraId="25C2D448" w14:textId="77777777" w:rsidR="005B6F05" w:rsidRPr="00150055" w:rsidRDefault="005B6F05" w:rsidP="003760F4">
            <w:pPr>
              <w:rPr>
                <w:bCs/>
              </w:rPr>
            </w:pPr>
            <w:r w:rsidRPr="00F82927">
              <w:rPr>
                <w:bCs/>
              </w:rPr>
              <w:t>Other specified dorsopathies, lumbosacral region</w:t>
            </w:r>
          </w:p>
        </w:tc>
      </w:tr>
      <w:tr w:rsidR="005B6F05" w:rsidRPr="005144C0" w14:paraId="4F51BDFF" w14:textId="77777777" w:rsidTr="00DB1032">
        <w:tc>
          <w:tcPr>
            <w:tcW w:w="1834" w:type="dxa"/>
          </w:tcPr>
          <w:p w14:paraId="1CB71BFA" w14:textId="77777777" w:rsidR="005B6F05" w:rsidRDefault="005B6F05" w:rsidP="003760F4">
            <w:pPr>
              <w:rPr>
                <w:bCs/>
              </w:rPr>
            </w:pPr>
            <w:r>
              <w:rPr>
                <w:bCs/>
              </w:rPr>
              <w:t>M53.88</w:t>
            </w:r>
          </w:p>
        </w:tc>
        <w:tc>
          <w:tcPr>
            <w:tcW w:w="7791" w:type="dxa"/>
          </w:tcPr>
          <w:p w14:paraId="37B9006A" w14:textId="77777777" w:rsidR="005B6F05" w:rsidRPr="005144C0" w:rsidRDefault="005B6F05" w:rsidP="003760F4">
            <w:pPr>
              <w:rPr>
                <w:bCs/>
              </w:rPr>
            </w:pPr>
            <w:r w:rsidRPr="00150055">
              <w:rPr>
                <w:bCs/>
              </w:rPr>
              <w:t>Other specified dorsopathies, sacral and sacrococcygeal region</w:t>
            </w:r>
          </w:p>
        </w:tc>
      </w:tr>
      <w:tr w:rsidR="005B6F05" w:rsidRPr="005144C0" w14:paraId="6FD555CC" w14:textId="77777777" w:rsidTr="00DB1032">
        <w:tc>
          <w:tcPr>
            <w:tcW w:w="1834" w:type="dxa"/>
          </w:tcPr>
          <w:p w14:paraId="0DF2B129" w14:textId="2B8E2E45" w:rsidR="005B6F05" w:rsidRPr="005144C0" w:rsidRDefault="005B6F05" w:rsidP="003760F4">
            <w:pPr>
              <w:rPr>
                <w:bCs/>
              </w:rPr>
            </w:pPr>
            <w:r>
              <w:rPr>
                <w:bCs/>
              </w:rPr>
              <w:t>M54.30-M54.32</w:t>
            </w:r>
          </w:p>
        </w:tc>
        <w:tc>
          <w:tcPr>
            <w:tcW w:w="7791" w:type="dxa"/>
          </w:tcPr>
          <w:p w14:paraId="32833D59" w14:textId="77777777" w:rsidR="005B6F05" w:rsidRPr="005144C0" w:rsidRDefault="005B6F05" w:rsidP="003760F4">
            <w:pPr>
              <w:rPr>
                <w:bCs/>
              </w:rPr>
            </w:pPr>
            <w:r>
              <w:rPr>
                <w:bCs/>
              </w:rPr>
              <w:t>Sciatica</w:t>
            </w:r>
          </w:p>
        </w:tc>
      </w:tr>
      <w:tr w:rsidR="005B6F05" w14:paraId="2DDF2035" w14:textId="77777777" w:rsidTr="00DB1032">
        <w:tc>
          <w:tcPr>
            <w:tcW w:w="1834" w:type="dxa"/>
          </w:tcPr>
          <w:p w14:paraId="66496479" w14:textId="77777777" w:rsidR="005B6F05" w:rsidRDefault="005B6F05" w:rsidP="003760F4">
            <w:pPr>
              <w:rPr>
                <w:bCs/>
              </w:rPr>
            </w:pPr>
            <w:r>
              <w:rPr>
                <w:bCs/>
              </w:rPr>
              <w:t>M54.40-M54.42</w:t>
            </w:r>
          </w:p>
        </w:tc>
        <w:tc>
          <w:tcPr>
            <w:tcW w:w="7791" w:type="dxa"/>
          </w:tcPr>
          <w:p w14:paraId="28A06F6B" w14:textId="77777777" w:rsidR="005B6F05" w:rsidRDefault="005B6F05" w:rsidP="003760F4">
            <w:pPr>
              <w:rPr>
                <w:bCs/>
              </w:rPr>
            </w:pPr>
            <w:r w:rsidRPr="00150055">
              <w:rPr>
                <w:bCs/>
              </w:rPr>
              <w:t>Lumbago with sciatica</w:t>
            </w:r>
          </w:p>
        </w:tc>
      </w:tr>
      <w:tr w:rsidR="005B6F05" w:rsidRPr="00150055" w14:paraId="37F38DF6" w14:textId="77777777" w:rsidTr="00DB1032">
        <w:tc>
          <w:tcPr>
            <w:tcW w:w="1834" w:type="dxa"/>
          </w:tcPr>
          <w:p w14:paraId="63E35DE7" w14:textId="77777777" w:rsidR="005B6F05" w:rsidRDefault="005B6F05" w:rsidP="003760F4">
            <w:pPr>
              <w:rPr>
                <w:bCs/>
              </w:rPr>
            </w:pPr>
            <w:r>
              <w:rPr>
                <w:bCs/>
              </w:rPr>
              <w:t>M54.5</w:t>
            </w:r>
          </w:p>
        </w:tc>
        <w:tc>
          <w:tcPr>
            <w:tcW w:w="7791" w:type="dxa"/>
          </w:tcPr>
          <w:p w14:paraId="24966027" w14:textId="77777777" w:rsidR="005B6F05" w:rsidRPr="00150055" w:rsidRDefault="005B6F05" w:rsidP="003760F4">
            <w:pPr>
              <w:rPr>
                <w:bCs/>
              </w:rPr>
            </w:pPr>
            <w:r>
              <w:rPr>
                <w:bCs/>
              </w:rPr>
              <w:t>Low back pain</w:t>
            </w:r>
          </w:p>
        </w:tc>
      </w:tr>
      <w:tr w:rsidR="005B6F05" w14:paraId="758DBAB0" w14:textId="77777777" w:rsidTr="00DB1032">
        <w:tc>
          <w:tcPr>
            <w:tcW w:w="1834" w:type="dxa"/>
          </w:tcPr>
          <w:p w14:paraId="1599EF63" w14:textId="4417F1CB" w:rsidR="005B6F05" w:rsidRDefault="005B6F05" w:rsidP="003C7871">
            <w:pPr>
              <w:rPr>
                <w:bCs/>
              </w:rPr>
            </w:pPr>
            <w:r>
              <w:rPr>
                <w:bCs/>
              </w:rPr>
              <w:t>M54.8</w:t>
            </w:r>
            <w:r w:rsidR="003C7871">
              <w:rPr>
                <w:bCs/>
              </w:rPr>
              <w:t>9</w:t>
            </w:r>
          </w:p>
        </w:tc>
        <w:tc>
          <w:tcPr>
            <w:tcW w:w="7791" w:type="dxa"/>
          </w:tcPr>
          <w:p w14:paraId="4D815459" w14:textId="77777777" w:rsidR="005B6F05" w:rsidRDefault="005B6F05" w:rsidP="003760F4">
            <w:pPr>
              <w:rPr>
                <w:bCs/>
              </w:rPr>
            </w:pPr>
            <w:r w:rsidRPr="00150055">
              <w:rPr>
                <w:bCs/>
              </w:rPr>
              <w:t>Other dorsalgia</w:t>
            </w:r>
          </w:p>
        </w:tc>
      </w:tr>
      <w:tr w:rsidR="005B6F05" w:rsidRPr="00150055" w14:paraId="05EA41FA" w14:textId="77777777" w:rsidTr="00DB1032">
        <w:tc>
          <w:tcPr>
            <w:tcW w:w="1834" w:type="dxa"/>
          </w:tcPr>
          <w:p w14:paraId="593FE267" w14:textId="77777777" w:rsidR="005B6F05" w:rsidRDefault="005B6F05" w:rsidP="003760F4">
            <w:pPr>
              <w:rPr>
                <w:bCs/>
              </w:rPr>
            </w:pPr>
            <w:r>
              <w:rPr>
                <w:bCs/>
              </w:rPr>
              <w:t>M54.9</w:t>
            </w:r>
          </w:p>
        </w:tc>
        <w:tc>
          <w:tcPr>
            <w:tcW w:w="7791" w:type="dxa"/>
          </w:tcPr>
          <w:p w14:paraId="02DD7BFD" w14:textId="77777777" w:rsidR="005B6F05" w:rsidRPr="00150055" w:rsidRDefault="005B6F05" w:rsidP="003760F4">
            <w:pPr>
              <w:rPr>
                <w:bCs/>
              </w:rPr>
            </w:pPr>
            <w:r w:rsidRPr="00150055">
              <w:rPr>
                <w:bCs/>
              </w:rPr>
              <w:t>Dorsalgia, unspecified</w:t>
            </w:r>
          </w:p>
        </w:tc>
      </w:tr>
    </w:tbl>
    <w:p w14:paraId="6B872D36"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0ECC6E1F"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3BDE5146"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14:paraId="5AE0D08E"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7DADC786"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7BAEAC84"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53A95A47" w14:textId="444B637E" w:rsidR="00B777AF" w:rsidRDefault="000613C1" w:rsidP="00103475">
            <w:pPr>
              <w:tabs>
                <w:tab w:val="num" w:pos="720"/>
              </w:tabs>
            </w:pPr>
            <w:r>
              <w:t>Policy split from CP.MP.118 Injections for Pain Management</w:t>
            </w:r>
            <w:r w:rsidR="0097108A">
              <w:t>. Minor rewording for clarity.</w:t>
            </w:r>
            <w:r w:rsidR="009665D8">
              <w:t xml:space="preserve"> </w:t>
            </w:r>
            <w:r w:rsidR="00103475">
              <w:t xml:space="preserve">Clarified II. by adding “ </w:t>
            </w:r>
            <w:r w:rsidR="00103475" w:rsidRPr="00103475">
              <w:t>≥ 50%</w:t>
            </w:r>
            <w:r w:rsidR="00103475">
              <w:t>”</w:t>
            </w:r>
            <w:r w:rsidR="00103475" w:rsidRPr="00103475">
              <w:t xml:space="preserve"> </w:t>
            </w:r>
            <w:r w:rsidR="00103475">
              <w:t xml:space="preserve">to the statement. </w:t>
            </w:r>
            <w:r w:rsidR="009665D8">
              <w:t>Background updated.</w:t>
            </w:r>
          </w:p>
        </w:tc>
        <w:tc>
          <w:tcPr>
            <w:tcW w:w="810" w:type="dxa"/>
            <w:tcBorders>
              <w:top w:val="none" w:sz="0" w:space="0" w:color="auto"/>
              <w:bottom w:val="none" w:sz="0" w:space="0" w:color="auto"/>
            </w:tcBorders>
          </w:tcPr>
          <w:p w14:paraId="22F9266B" w14:textId="28EA839A" w:rsidR="00B777AF" w:rsidRDefault="000613C1" w:rsidP="005776FD">
            <w:pPr>
              <w:jc w:val="center"/>
              <w:cnfStyle w:val="000000100000" w:firstRow="0" w:lastRow="0" w:firstColumn="0" w:lastColumn="0" w:oddVBand="0" w:evenVBand="0" w:oddHBand="1" w:evenHBand="0" w:firstRowFirstColumn="0" w:firstRowLastColumn="0" w:lastRowFirstColumn="0" w:lastRowLastColumn="0"/>
            </w:pPr>
            <w:r>
              <w:t>08/18</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4B439B6E" w14:textId="1B34A667" w:rsidR="00B777AF" w:rsidRDefault="00103475" w:rsidP="00857C10">
            <w:pPr>
              <w:jc w:val="center"/>
            </w:pPr>
            <w:r>
              <w:t>08/18</w:t>
            </w:r>
          </w:p>
        </w:tc>
      </w:tr>
      <w:tr w:rsidR="006126B6" w14:paraId="56939F7A"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3065719B" w14:textId="3ACC5C86" w:rsidR="006126B6" w:rsidRDefault="00324596" w:rsidP="00371EA3">
            <w:pPr>
              <w:tabs>
                <w:tab w:val="num" w:pos="720"/>
              </w:tabs>
            </w:pPr>
            <w:r w:rsidRPr="00324596">
              <w:t xml:space="preserve">Annual review of policy. </w:t>
            </w:r>
            <w:r w:rsidR="00DB1032">
              <w:t>Minor wording changes to match language in other pain injection policies.</w:t>
            </w:r>
            <w:r w:rsidRPr="00324596">
              <w:t xml:space="preserve"> References reviewed and updated, with two additional references added.  Specialty review completed.</w:t>
            </w:r>
            <w:r w:rsidR="00371EA3">
              <w:t xml:space="preserve"> Reworded </w:t>
            </w:r>
            <w:bookmarkStart w:id="2" w:name="_GoBack"/>
            <w:bookmarkEnd w:id="2"/>
            <w:r w:rsidR="00371EA3">
              <w:t xml:space="preserve">II. for clarity. </w:t>
            </w:r>
          </w:p>
        </w:tc>
        <w:tc>
          <w:tcPr>
            <w:tcW w:w="810" w:type="dxa"/>
          </w:tcPr>
          <w:p w14:paraId="3EC40487" w14:textId="2CE132C6" w:rsidR="006126B6" w:rsidRDefault="006126B6" w:rsidP="005776FD">
            <w:pPr>
              <w:jc w:val="center"/>
              <w:cnfStyle w:val="000000000000" w:firstRow="0" w:lastRow="0" w:firstColumn="0" w:lastColumn="0" w:oddVBand="0" w:evenVBand="0" w:oddHBand="0" w:evenHBand="0" w:firstRowFirstColumn="0" w:firstRowLastColumn="0" w:lastRowFirstColumn="0" w:lastRowLastColumn="0"/>
            </w:pPr>
            <w:r>
              <w:t>08/19</w:t>
            </w:r>
          </w:p>
        </w:tc>
        <w:tc>
          <w:tcPr>
            <w:cnfStyle w:val="000010000000" w:firstRow="0" w:lastRow="0" w:firstColumn="0" w:lastColumn="0" w:oddVBand="1" w:evenVBand="0" w:oddHBand="0" w:evenHBand="0" w:firstRowFirstColumn="0" w:firstRowLastColumn="0" w:lastRowFirstColumn="0" w:lastRowLastColumn="0"/>
            <w:tcW w:w="1260" w:type="dxa"/>
          </w:tcPr>
          <w:p w14:paraId="00EE71E2" w14:textId="5D02EFCC" w:rsidR="006126B6" w:rsidRDefault="006126B6" w:rsidP="00857C10">
            <w:pPr>
              <w:jc w:val="center"/>
            </w:pPr>
            <w:r>
              <w:t>08/19</w:t>
            </w:r>
          </w:p>
        </w:tc>
      </w:tr>
    </w:tbl>
    <w:p w14:paraId="57885E68" w14:textId="77777777" w:rsidR="0010059F" w:rsidRDefault="0010059F" w:rsidP="00963062">
      <w:pPr>
        <w:pStyle w:val="Heading3"/>
        <w:sectPr w:rsidR="0010059F" w:rsidSect="00CB63DD">
          <w:type w:val="continuous"/>
          <w:pgSz w:w="12240" w:h="15840" w:code="1"/>
          <w:pgMar w:top="1440" w:right="1440" w:bottom="1440" w:left="1440" w:header="576" w:footer="288" w:gutter="0"/>
          <w:cols w:space="720"/>
          <w:titlePg/>
          <w:docGrid w:linePitch="360"/>
        </w:sectPr>
      </w:pPr>
    </w:p>
    <w:p w14:paraId="35E6E5A5" w14:textId="354C9F4F" w:rsidR="00963062" w:rsidRPr="00B777AF" w:rsidRDefault="003F3D44" w:rsidP="00963062">
      <w:pPr>
        <w:pStyle w:val="Heading3"/>
      </w:pPr>
      <w:r>
        <w:t>References</w:t>
      </w:r>
    </w:p>
    <w:p w14:paraId="560DB801" w14:textId="65A3E4A4" w:rsidR="004B508F" w:rsidRDefault="004B508F">
      <w:pPr>
        <w:pStyle w:val="ListParagraph"/>
        <w:numPr>
          <w:ilvl w:val="0"/>
          <w:numId w:val="21"/>
        </w:numPr>
        <w:ind w:left="360"/>
      </w:pPr>
      <w:r w:rsidRPr="0007420A">
        <w:t xml:space="preserve">Hayes Health Technology Brief. Sacroiliac joint injections with corticosteroids for treatment of chronic low back pain. </w:t>
      </w:r>
      <w:r>
        <w:t>Dec. 22, 2016</w:t>
      </w:r>
      <w:r w:rsidRPr="0007420A">
        <w:t xml:space="preserve">. </w:t>
      </w:r>
      <w:r>
        <w:t xml:space="preserve">Annual review January 2, 2018. Accessed </w:t>
      </w:r>
      <w:r w:rsidR="00152CFB">
        <w:t>7/29/19</w:t>
      </w:r>
      <w:r>
        <w:t>.</w:t>
      </w:r>
    </w:p>
    <w:p w14:paraId="52E1CD62" w14:textId="5B8756FF" w:rsidR="004B508F" w:rsidRDefault="004B508F">
      <w:pPr>
        <w:pStyle w:val="ListParagraph"/>
        <w:numPr>
          <w:ilvl w:val="0"/>
          <w:numId w:val="21"/>
        </w:numPr>
        <w:ind w:left="360"/>
      </w:pPr>
      <w:r w:rsidRPr="0007420A">
        <w:t>Visser LH, Woudenberg NP, de Bont J, et al. Treatment of the sacroiliac joint in patients with leg pain: a randomized-controlled trial. Eur Spine J. 2013 Oct;22(10):2310-7</w:t>
      </w:r>
    </w:p>
    <w:p w14:paraId="36F6386E" w14:textId="67E93679" w:rsidR="00561BB4" w:rsidRDefault="00561BB4" w:rsidP="009665D8">
      <w:pPr>
        <w:pStyle w:val="ListParagraph"/>
        <w:numPr>
          <w:ilvl w:val="0"/>
          <w:numId w:val="21"/>
        </w:numPr>
        <w:ind w:left="360"/>
      </w:pPr>
      <w:r w:rsidRPr="00561BB4">
        <w:t>van Tilburg CW, Schuurmans FA, Stronks DL, Groeneweg JG, Huygen FJ. Randomized sham-controlled double-blind multicenter clinical trial to ascertain the effect of percutaneous radiofrequency treatment for sacroiliac joint pain: three-month results. Clin J Pain. 2016;</w:t>
      </w:r>
      <w:r>
        <w:t xml:space="preserve"> </w:t>
      </w:r>
      <w:r w:rsidRPr="00561BB4">
        <w:t>32(11):921-926.</w:t>
      </w:r>
      <w:r w:rsidR="00CF2F47">
        <w:t xml:space="preserve">  </w:t>
      </w:r>
    </w:p>
    <w:p w14:paraId="49453E8E" w14:textId="0AE4049B" w:rsidR="006C460B" w:rsidRPr="006C460B" w:rsidRDefault="006C460B" w:rsidP="006C460B">
      <w:pPr>
        <w:pStyle w:val="ListParagraph"/>
        <w:numPr>
          <w:ilvl w:val="0"/>
          <w:numId w:val="21"/>
        </w:numPr>
        <w:ind w:left="360"/>
      </w:pPr>
      <w:r>
        <w:t xml:space="preserve">Juch JNS, Maas ET, Ostelo RWJG, et al. Effect of radiofrequency denervation on pain intensity among patients with chronic low back pain: the MINT randomized clinical trials. JAMA. </w:t>
      </w:r>
      <w:r w:rsidRPr="006C460B">
        <w:t>2017 Jul 4; 318(1): 68–81.</w:t>
      </w:r>
      <w:r w:rsidR="00CF2F47">
        <w:t xml:space="preserve">  </w:t>
      </w:r>
    </w:p>
    <w:p w14:paraId="6A765DF6" w14:textId="47E6621B" w:rsidR="00561BB4" w:rsidRDefault="00561BB4" w:rsidP="00561BB4">
      <w:pPr>
        <w:pStyle w:val="ListParagraph"/>
        <w:numPr>
          <w:ilvl w:val="0"/>
          <w:numId w:val="21"/>
        </w:numPr>
        <w:ind w:left="360"/>
      </w:pPr>
      <w:r>
        <w:t xml:space="preserve">Manchikanti L, Abdi S, Atluri S, et al. An update of comprehensive evidence-based guidelines for interventional techniques in spinal pain. Part II: guidance and recommendations. Pain Physician 2013; 16: S49-S283. </w:t>
      </w:r>
    </w:p>
    <w:p w14:paraId="1F2AA767" w14:textId="58B4DBB4" w:rsidR="008B2C07" w:rsidRDefault="008B2C07">
      <w:pPr>
        <w:pStyle w:val="ListParagraph"/>
        <w:numPr>
          <w:ilvl w:val="0"/>
          <w:numId w:val="21"/>
        </w:numPr>
        <w:ind w:left="360"/>
      </w:pPr>
      <w:r>
        <w:t xml:space="preserve">Hayes Medical Technology Directory. Radiofrequency ablation for sacroiliac joint denervation for chronic low back pain. February 9, 2017. Annual review February 15, 2018. </w:t>
      </w:r>
      <w:r w:rsidR="00842676">
        <w:t xml:space="preserve"> Accessed 7/29/19.</w:t>
      </w:r>
    </w:p>
    <w:p w14:paraId="4E3281ED" w14:textId="061BD02B" w:rsidR="006744F1" w:rsidRDefault="006744F1" w:rsidP="006744F1">
      <w:pPr>
        <w:pStyle w:val="ListParagraph"/>
        <w:numPr>
          <w:ilvl w:val="0"/>
          <w:numId w:val="21"/>
        </w:numPr>
        <w:ind w:left="360"/>
      </w:pPr>
      <w:r>
        <w:t xml:space="preserve">MacVicar J, Kreiner DS, Duszynski B, Kennedy DJ. Appropriate use criteria for fluoroscopically-guided diagnostic and therapeutic sacroiliac interventions: Results from the Spine Intervention Society-Convened Multispecialty Collaborative. </w:t>
      </w:r>
      <w:r w:rsidRPr="006744F1">
        <w:t>Pain Med. 2017 Nov 1;18(11):2081-2095. doi: 10.1093/pm/pnx253.</w:t>
      </w:r>
    </w:p>
    <w:p w14:paraId="208C0CEF" w14:textId="0B9E4C4D" w:rsidR="004B508F" w:rsidRDefault="004B508F">
      <w:pPr>
        <w:pStyle w:val="ListParagraph"/>
        <w:numPr>
          <w:ilvl w:val="0"/>
          <w:numId w:val="21"/>
        </w:numPr>
        <w:ind w:left="360"/>
      </w:pPr>
      <w:r w:rsidRPr="0007420A">
        <w:t>Chou R, Hashimoto R, Friedly J, Fu Rochelle, Dana T, Sullivan S, Bougatsos C, Jarvik J. Pain Management Injection Therapies for Low Back Pain. Technology Assessment Report ESIB0813. (Prepared by the Pacific Northwest Evidence-based Practice Center under Contract No. HHSA 290-2012-00014-I.) Rockville, MD: Agency for Healthcare Research and Quality; March 2015.</w:t>
      </w:r>
    </w:p>
    <w:p w14:paraId="0A2D03B7" w14:textId="7221524B" w:rsidR="004B508F" w:rsidRDefault="0007420A" w:rsidP="0007420A">
      <w:pPr>
        <w:pStyle w:val="ListParagraph"/>
        <w:numPr>
          <w:ilvl w:val="0"/>
          <w:numId w:val="21"/>
        </w:numPr>
        <w:ind w:left="360"/>
      </w:pPr>
      <w:r w:rsidRPr="0007420A">
        <w:t xml:space="preserve">Chou R.  Subacute and chronic low back pain: Nonsurgical interventional treatment.  In: UpToDate, Atlas SJ (Ed), UpToDate, Waltham, MA.  Accessed </w:t>
      </w:r>
      <w:r w:rsidR="00152CFB">
        <w:t>7/29/19</w:t>
      </w:r>
      <w:r w:rsidRPr="0007420A">
        <w:t xml:space="preserve">. </w:t>
      </w:r>
    </w:p>
    <w:p w14:paraId="631F3D22" w14:textId="77777777" w:rsidR="0007420A" w:rsidRDefault="0007420A" w:rsidP="0007420A">
      <w:pPr>
        <w:pStyle w:val="ListParagraph"/>
        <w:numPr>
          <w:ilvl w:val="0"/>
          <w:numId w:val="21"/>
        </w:numPr>
        <w:ind w:left="360"/>
      </w:pPr>
      <w:r>
        <w:t xml:space="preserve">Chou R, et al.  Diagnosis and treatment of low back pain: a joint clinical practice guideline from the American College of Physicians and the American Pain Society.  Ann Intern Med. 2007;147:478-491.  </w:t>
      </w:r>
    </w:p>
    <w:p w14:paraId="4079345E" w14:textId="77777777" w:rsidR="0007420A" w:rsidRDefault="0007420A" w:rsidP="0007420A">
      <w:pPr>
        <w:pStyle w:val="ListParagraph"/>
        <w:numPr>
          <w:ilvl w:val="0"/>
          <w:numId w:val="21"/>
        </w:numPr>
        <w:ind w:left="360"/>
      </w:pPr>
      <w:r w:rsidRPr="00BB5BD2">
        <w:t>Chou R et al. Diagnostic imaging for low back pain: advice for high-value health care from the American College of Physicians</w:t>
      </w:r>
      <w:r>
        <w:t>. Ann Intern Med 2011; 154:181-189.</w:t>
      </w:r>
    </w:p>
    <w:p w14:paraId="04DACD06" w14:textId="77777777" w:rsidR="0007420A" w:rsidRDefault="0007420A" w:rsidP="0007420A">
      <w:pPr>
        <w:pStyle w:val="ListParagraph"/>
        <w:numPr>
          <w:ilvl w:val="0"/>
          <w:numId w:val="21"/>
        </w:numPr>
        <w:ind w:left="360"/>
      </w:pPr>
      <w:r>
        <w:t xml:space="preserve">Chou R et al. Interventional therapies, surgery, and interdisciplinary rehabilitation for low back pain. An evidence-based clinical practice guideline from the American Pain Society. Spine 2009; 34: 1066-1077. </w:t>
      </w:r>
    </w:p>
    <w:p w14:paraId="02C4EB1F" w14:textId="77777777" w:rsidR="0007420A" w:rsidRPr="0007420A" w:rsidRDefault="0007420A" w:rsidP="0007420A">
      <w:pPr>
        <w:pStyle w:val="ListParagraph"/>
        <w:numPr>
          <w:ilvl w:val="0"/>
          <w:numId w:val="21"/>
        </w:numPr>
        <w:ind w:left="360"/>
      </w:pPr>
      <w:r w:rsidRPr="0007420A">
        <w:t xml:space="preserve">Heggeness MH.  AAOS endorses back pain guidelines.  AAOS Now.  Sept 2010.  </w:t>
      </w:r>
    </w:p>
    <w:p w14:paraId="2791E0FA" w14:textId="77777777" w:rsidR="0007420A" w:rsidRDefault="0007420A" w:rsidP="0007420A">
      <w:pPr>
        <w:pStyle w:val="ListParagraph"/>
        <w:numPr>
          <w:ilvl w:val="0"/>
          <w:numId w:val="21"/>
        </w:numPr>
        <w:ind w:left="360"/>
      </w:pPr>
      <w:r>
        <w:t xml:space="preserve">Laslett M. Evidence-based diagnosis and treatment of the painful sacroiliac joint. J Man Manip Ther. 2008; 16(3): 142–152. </w:t>
      </w:r>
    </w:p>
    <w:p w14:paraId="227099CF" w14:textId="77777777" w:rsidR="0007420A" w:rsidRDefault="0007420A" w:rsidP="0007420A">
      <w:pPr>
        <w:pStyle w:val="ListParagraph"/>
        <w:numPr>
          <w:ilvl w:val="0"/>
          <w:numId w:val="21"/>
        </w:numPr>
        <w:ind w:left="360"/>
      </w:pPr>
      <w:r>
        <w:t>Maas ET, Ostelo RW, Niemisto L, et al. Radiofrequency denervation for chronic low back pain. Cochrane Database Syst Rev. 2015; Oct 23; (10)</w:t>
      </w:r>
    </w:p>
    <w:p w14:paraId="1DCE256D" w14:textId="77777777" w:rsidR="0007420A" w:rsidRDefault="0007420A" w:rsidP="0007420A">
      <w:pPr>
        <w:pStyle w:val="ListParagraph"/>
        <w:numPr>
          <w:ilvl w:val="0"/>
          <w:numId w:val="21"/>
        </w:numPr>
        <w:ind w:left="360"/>
      </w:pPr>
      <w:r>
        <w:t>Manchikanti L et al.  A Critical Review of the American Pain Society Clinical Practice Guidelines for Interventional Techniques: Part 1. Diagnostic Interventions. Pain Physician 2010; 13:E141-E174.</w:t>
      </w:r>
    </w:p>
    <w:p w14:paraId="087E8DC9" w14:textId="77777777" w:rsidR="0007420A" w:rsidRDefault="0007420A" w:rsidP="0007420A">
      <w:pPr>
        <w:pStyle w:val="ListParagraph"/>
        <w:numPr>
          <w:ilvl w:val="0"/>
          <w:numId w:val="21"/>
        </w:numPr>
        <w:ind w:left="360"/>
      </w:pPr>
      <w:r>
        <w:t>Manchikanti L et al. A Critical Review of the American Pain Society Clinical Practice Guidelines for Interventional Techniques: Part 2. Therapeutic Interventions. Pain Physician 2010; 13:E215-E264.</w:t>
      </w:r>
    </w:p>
    <w:p w14:paraId="00B386A7" w14:textId="77777777" w:rsidR="0007420A" w:rsidRDefault="0007420A" w:rsidP="0007420A">
      <w:pPr>
        <w:pStyle w:val="ListParagraph"/>
        <w:numPr>
          <w:ilvl w:val="0"/>
          <w:numId w:val="21"/>
        </w:numPr>
        <w:ind w:left="360"/>
      </w:pPr>
      <w:r>
        <w:t xml:space="preserve">Simopoulos TT, Manchikanti L, Gupta S. Systematic review of the diagnostic accuracy and therapeutic effectiveness of sacroiliac joint interventions. Pain Physician 2015; 18: E7133-E756. </w:t>
      </w:r>
    </w:p>
    <w:p w14:paraId="02416407" w14:textId="51045134" w:rsidR="0007420A" w:rsidRDefault="0007420A" w:rsidP="0007420A">
      <w:pPr>
        <w:pStyle w:val="ListParagraph"/>
        <w:numPr>
          <w:ilvl w:val="0"/>
          <w:numId w:val="21"/>
        </w:numPr>
        <w:ind w:left="360"/>
      </w:pPr>
      <w:r>
        <w:t xml:space="preserve">Soloman M, Mekhail MN, Mekhail N. Radiofrequency treatment in chronic pain.  Expert Rev Neurother. 2010;10(3):469-474.  Accessed online at: </w:t>
      </w:r>
      <w:hyperlink r:id="rId14" w:history="1">
        <w:r w:rsidRPr="0010059F">
          <w:rPr>
            <w:rStyle w:val="Hyperlink"/>
          </w:rPr>
          <w:t>http://www.medscape.com/viewarticle/718292_1</w:t>
        </w:r>
      </w:hyperlink>
      <w:r>
        <w:t xml:space="preserve"> </w:t>
      </w:r>
    </w:p>
    <w:p w14:paraId="21A70C3B" w14:textId="77777777" w:rsidR="0007420A" w:rsidRDefault="0007420A" w:rsidP="0007420A">
      <w:pPr>
        <w:pStyle w:val="ListParagraph"/>
        <w:numPr>
          <w:ilvl w:val="0"/>
          <w:numId w:val="21"/>
        </w:numPr>
        <w:ind w:left="360"/>
      </w:pPr>
      <w:r>
        <w:t>Staal JB et al. Injection therapy for subacute and chronic low-back pain. Cochrane Database of Systematic Reviews 2008, Issue 3. Art. No. CD001824. DOI: 10.1002/14651858.CD001824.pub3.</w:t>
      </w:r>
    </w:p>
    <w:p w14:paraId="1CCBA4BF" w14:textId="77777777" w:rsidR="00AE60A6" w:rsidRDefault="0007420A" w:rsidP="0007420A">
      <w:pPr>
        <w:pStyle w:val="ListParagraph"/>
        <w:numPr>
          <w:ilvl w:val="0"/>
          <w:numId w:val="21"/>
        </w:numPr>
        <w:ind w:left="360"/>
      </w:pPr>
      <w:r w:rsidRPr="0007420A">
        <w:t>Work Loss Data Institute. Low back – lumbar &amp; thoracic (acute &amp; chronic). Encinitas (CA): Work Loss Data Institute; 2011. Various p.</w:t>
      </w:r>
    </w:p>
    <w:p w14:paraId="0CFD1579" w14:textId="77777777" w:rsidR="003760F4" w:rsidRPr="00FD540B" w:rsidRDefault="00AE60A6" w:rsidP="00FD540B">
      <w:pPr>
        <w:pStyle w:val="ListParagraph"/>
        <w:numPr>
          <w:ilvl w:val="0"/>
          <w:numId w:val="21"/>
        </w:numPr>
        <w:ind w:left="360"/>
      </w:pPr>
      <w:r>
        <w:rPr>
          <w:lang w:val="en"/>
        </w:rPr>
        <w:t>Qaseem A, Wilt TJ, McLean RM, Forciea MA, for the Clinical Guidelines Committee of the American College of Physicians. Noninvasive Treatments for Acute, Subacute, and Chronic Low Back Pain: A Clinical Practice Guideline From the American College of Physicians. Ann Intern Med. [Epub ahead of print 14 February 2017]166</w:t>
      </w:r>
      <w:r>
        <w:rPr>
          <w:rStyle w:val="citation-volume-pages"/>
          <w:lang w:val="en"/>
        </w:rPr>
        <w:t>:514–530.</w:t>
      </w:r>
      <w:r>
        <w:rPr>
          <w:lang w:val="en"/>
        </w:rPr>
        <w:t xml:space="preserve"> doi: 10.7326/M16-2367</w:t>
      </w:r>
    </w:p>
    <w:p w14:paraId="7AD7EE4A" w14:textId="04E43FA3" w:rsidR="003760F4" w:rsidRPr="00FD540B" w:rsidRDefault="003760F4" w:rsidP="00FD540B">
      <w:pPr>
        <w:pStyle w:val="ListParagraph"/>
        <w:numPr>
          <w:ilvl w:val="0"/>
          <w:numId w:val="21"/>
        </w:numPr>
        <w:ind w:left="360"/>
      </w:pPr>
      <w:r w:rsidRPr="003760F4">
        <w:rPr>
          <w:lang w:val="en"/>
        </w:rPr>
        <w:t>Chen CH, Weng PW, Chiang YF, et al.  Radiofrequency Neurotomy in</w:t>
      </w:r>
      <w:r w:rsidR="0007420A" w:rsidRPr="0007420A">
        <w:t xml:space="preserve"> </w:t>
      </w:r>
      <w:r>
        <w:t xml:space="preserve">chronic lumbar and sacroiliac joint pain:  A meta-analysis.  Medicine (Baltimore).  2019 June;98(26):e16230. </w:t>
      </w:r>
    </w:p>
    <w:p w14:paraId="54EF6C9B" w14:textId="33E19F8D" w:rsidR="0007420A" w:rsidRPr="0007420A" w:rsidRDefault="0007420A" w:rsidP="00DB1032">
      <w:pPr>
        <w:ind w:left="360"/>
      </w:pPr>
    </w:p>
    <w:p w14:paraId="21F4A294" w14:textId="77777777" w:rsidR="00DD6ADB" w:rsidRPr="00146C6E" w:rsidRDefault="00C06257" w:rsidP="00146C6E">
      <w:pPr>
        <w:rPr>
          <w:rFonts w:eastAsiaTheme="minorHAnsi"/>
          <w:b/>
          <w:u w:val="single"/>
        </w:rPr>
      </w:pPr>
      <w:bookmarkStart w:id="3" w:name="Important_Reminder"/>
      <w:r w:rsidRPr="00146C6E">
        <w:rPr>
          <w:rFonts w:eastAsiaTheme="minorHAnsi"/>
          <w:b/>
          <w:bCs/>
          <w:u w:val="single"/>
        </w:rPr>
        <w:t>Important R</w:t>
      </w:r>
      <w:r w:rsidR="005D7B81" w:rsidRPr="00146C6E">
        <w:rPr>
          <w:rFonts w:eastAsiaTheme="minorHAnsi"/>
          <w:b/>
          <w:bCs/>
          <w:u w:val="single"/>
        </w:rPr>
        <w:t>eminder</w:t>
      </w:r>
      <w:bookmarkEnd w:id="3"/>
    </w:p>
    <w:p w14:paraId="410DD996" w14:textId="77777777"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4B6136D1" w14:textId="77777777" w:rsidR="00DD6ADB" w:rsidRPr="00146C6E" w:rsidRDefault="00DD6ADB" w:rsidP="00146C6E">
      <w:pPr>
        <w:rPr>
          <w:rFonts w:eastAsiaTheme="minorHAnsi"/>
        </w:rPr>
      </w:pPr>
    </w:p>
    <w:p w14:paraId="6B80DC45"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498F35EE" w14:textId="77777777" w:rsidR="00DD6ADB" w:rsidRPr="00146C6E" w:rsidRDefault="00DD6ADB" w:rsidP="00146C6E">
      <w:pPr>
        <w:rPr>
          <w:rFonts w:eastAsiaTheme="minorHAnsi"/>
        </w:rPr>
      </w:pPr>
    </w:p>
    <w:p w14:paraId="1614D6D6"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38828E62" w14:textId="77777777" w:rsidR="00DD6ADB" w:rsidRPr="00146C6E" w:rsidRDefault="00DD6ADB" w:rsidP="00146C6E">
      <w:pPr>
        <w:rPr>
          <w:rFonts w:eastAsiaTheme="minorHAnsi"/>
        </w:rPr>
      </w:pPr>
    </w:p>
    <w:p w14:paraId="039D19C0"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3CF18D8D" w14:textId="77777777" w:rsidR="00DD6ADB" w:rsidRPr="00146C6E" w:rsidRDefault="00DD6ADB" w:rsidP="00146C6E">
      <w:pPr>
        <w:rPr>
          <w:rFonts w:eastAsiaTheme="minorHAnsi"/>
        </w:rPr>
      </w:pPr>
    </w:p>
    <w:p w14:paraId="19D039E9"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644A5165" w14:textId="77777777" w:rsidR="00DD6ADB" w:rsidRPr="00146C6E" w:rsidRDefault="00DD6ADB" w:rsidP="00146C6E">
      <w:pPr>
        <w:rPr>
          <w:rFonts w:eastAsiaTheme="minorHAnsi"/>
        </w:rPr>
      </w:pPr>
    </w:p>
    <w:p w14:paraId="122180E9"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A5B2FBB" w14:textId="77777777" w:rsidR="00DD6ADB" w:rsidRPr="00146C6E" w:rsidRDefault="00DD6ADB" w:rsidP="00146C6E">
      <w:pPr>
        <w:autoSpaceDE w:val="0"/>
        <w:autoSpaceDN w:val="0"/>
        <w:adjustRightInd w:val="0"/>
        <w:rPr>
          <w:rFonts w:eastAsiaTheme="minorHAnsi"/>
          <w:color w:val="000000"/>
        </w:rPr>
      </w:pPr>
    </w:p>
    <w:p w14:paraId="0742DE8C"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B604A85" w14:textId="77777777" w:rsidR="00DD6ADB" w:rsidRPr="00146C6E" w:rsidRDefault="00DD6ADB" w:rsidP="00146C6E">
      <w:pPr>
        <w:rPr>
          <w:rFonts w:eastAsiaTheme="minorHAnsi"/>
        </w:rPr>
      </w:pPr>
    </w:p>
    <w:p w14:paraId="2817A9DC" w14:textId="18D93470"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5"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2EDC12B9" w14:textId="77777777" w:rsidR="00875924" w:rsidRPr="00146C6E" w:rsidRDefault="00875924" w:rsidP="00146C6E">
      <w:pPr>
        <w:rPr>
          <w:iCs/>
        </w:rPr>
      </w:pPr>
    </w:p>
    <w:p w14:paraId="4BC706B8" w14:textId="0EC7533C" w:rsidR="00C75BD4" w:rsidRPr="00146C6E" w:rsidRDefault="00CB63DD" w:rsidP="00146C6E">
      <w:pPr>
        <w:rPr>
          <w:iCs/>
        </w:rPr>
      </w:pPr>
      <w:r>
        <w:rPr>
          <w:iCs/>
        </w:rPr>
        <w:t>©2018</w:t>
      </w:r>
      <w:r w:rsidR="00C75BD4"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00C75BD4" w:rsidRPr="00146C6E">
        <w:rPr>
          <w:iCs/>
          <w:vertAlign w:val="superscript"/>
        </w:rPr>
        <w:t>®</w:t>
      </w:r>
      <w:r w:rsidR="00C75BD4" w:rsidRPr="00146C6E">
        <w:rPr>
          <w:iCs/>
        </w:rPr>
        <w:t xml:space="preserve"> and Centene Corporation</w:t>
      </w:r>
      <w:r w:rsidR="00C75BD4" w:rsidRPr="00146C6E">
        <w:rPr>
          <w:iCs/>
          <w:vertAlign w:val="superscript"/>
        </w:rPr>
        <w:t>®</w:t>
      </w:r>
      <w:r w:rsidR="00C75BD4" w:rsidRPr="00146C6E">
        <w:rPr>
          <w:iCs/>
        </w:rPr>
        <w:t xml:space="preserve"> are registered trademarks exclusively owned by Centene Corporation.</w:t>
      </w:r>
    </w:p>
    <w:p w14:paraId="2D598D92" w14:textId="77777777" w:rsidR="00C75BD4" w:rsidRDefault="00C75BD4" w:rsidP="00AF5490"/>
    <w:sectPr w:rsidR="00C75BD4" w:rsidSect="00CB63DD">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61BB9" w14:textId="77777777" w:rsidR="003760F4" w:rsidRDefault="003760F4">
      <w:r>
        <w:separator/>
      </w:r>
    </w:p>
  </w:endnote>
  <w:endnote w:type="continuationSeparator" w:id="0">
    <w:p w14:paraId="4EE734DF" w14:textId="77777777" w:rsidR="003760F4" w:rsidRDefault="0037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0F90C" w14:textId="308DA657" w:rsidR="003760F4" w:rsidRPr="00D574CA" w:rsidRDefault="003760F4" w:rsidP="00D574CA">
    <w:pPr>
      <w:pStyle w:val="Footer"/>
      <w:jc w:val="center"/>
    </w:pPr>
    <w:r>
      <w:t xml:space="preserve">Page </w:t>
    </w:r>
    <w:r>
      <w:rPr>
        <w:b/>
        <w:bCs/>
      </w:rPr>
      <w:fldChar w:fldCharType="begin"/>
    </w:r>
    <w:r>
      <w:rPr>
        <w:b/>
        <w:bCs/>
      </w:rPr>
      <w:instrText xml:space="preserve"> PAGE </w:instrText>
    </w:r>
    <w:r>
      <w:rPr>
        <w:b/>
        <w:bCs/>
      </w:rPr>
      <w:fldChar w:fldCharType="separate"/>
    </w:r>
    <w:r w:rsidR="002004A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004A8">
      <w:rPr>
        <w:b/>
        <w:bCs/>
        <w:noProof/>
      </w:rPr>
      <w:t>7</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34C2" w14:textId="704EAE7E" w:rsidR="003760F4" w:rsidRDefault="003760F4" w:rsidP="002C6AAB">
    <w:pPr>
      <w:pStyle w:val="Footer"/>
      <w:jc w:val="center"/>
    </w:pPr>
    <w:r>
      <w:t xml:space="preserve">Page </w:t>
    </w:r>
    <w:r>
      <w:fldChar w:fldCharType="begin"/>
    </w:r>
    <w:r>
      <w:instrText xml:space="preserve"> PAGE   \* MERGEFORMAT </w:instrText>
    </w:r>
    <w:r>
      <w:fldChar w:fldCharType="separate"/>
    </w:r>
    <w:r w:rsidR="002004A8">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2004A8">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5E51F" w14:textId="77777777" w:rsidR="003760F4" w:rsidRDefault="003760F4">
      <w:r>
        <w:separator/>
      </w:r>
    </w:p>
  </w:footnote>
  <w:footnote w:type="continuationSeparator" w:id="0">
    <w:p w14:paraId="61C4FD28" w14:textId="77777777" w:rsidR="003760F4" w:rsidRDefault="00376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CA89E" w14:textId="77777777" w:rsidR="003760F4" w:rsidRPr="00B777AF" w:rsidRDefault="003760F4"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72BFE99E" wp14:editId="47725500">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7FCD9335" w14:textId="3A0B4D28" w:rsidR="003760F4" w:rsidRPr="00B777AF" w:rsidRDefault="003760F4" w:rsidP="00B777AF">
    <w:pPr>
      <w:rPr>
        <w:color w:val="00548C"/>
      </w:rPr>
    </w:pPr>
    <w:r>
      <w:rPr>
        <w:rFonts w:ascii="Times New Roman Bold" w:hAnsi="Times New Roman Bold"/>
        <w:b/>
        <w:bCs/>
        <w:color w:val="00548C"/>
      </w:rPr>
      <w:t>Sacroiliac Joint Interventions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ACAF2" w14:textId="77777777" w:rsidR="003760F4" w:rsidRDefault="003760F4" w:rsidP="00B777AF">
    <w:pPr>
      <w:pStyle w:val="Header"/>
      <w:jc w:val="right"/>
    </w:pPr>
    <w:r>
      <w:rPr>
        <w:noProof/>
      </w:rPr>
      <w:drawing>
        <wp:inline distT="0" distB="0" distL="0" distR="0" wp14:anchorId="0833AB8F" wp14:editId="41493629">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E73F5E"/>
    <w:multiLevelType w:val="hybridMultilevel"/>
    <w:tmpl w:val="2CE46AB2"/>
    <w:lvl w:ilvl="0" w:tplc="796EF4DC">
      <w:start w:val="2"/>
      <w:numFmt w:val="upperRoman"/>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A5F07"/>
    <w:multiLevelType w:val="hybridMultilevel"/>
    <w:tmpl w:val="C9647EEE"/>
    <w:lvl w:ilvl="0" w:tplc="97D07328">
      <w:start w:val="1"/>
      <w:numFmt w:val="decimal"/>
      <w:lvlText w:val="%1."/>
      <w:lvlJc w:val="left"/>
      <w:pPr>
        <w:ind w:left="1170" w:hanging="360"/>
      </w:pPr>
      <w:rPr>
        <w:rFonts w:hint="default"/>
        <w:i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E2F6D"/>
    <w:multiLevelType w:val="hybridMultilevel"/>
    <w:tmpl w:val="CEDA093E"/>
    <w:lvl w:ilvl="0" w:tplc="EC7AB8EA">
      <w:start w:val="1"/>
      <w:numFmt w:val="upperLetter"/>
      <w:lvlText w:val="%1."/>
      <w:lvlJc w:val="left"/>
      <w:pPr>
        <w:ind w:left="1080" w:hanging="360"/>
      </w:pPr>
      <w:rPr>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E95B3E"/>
    <w:multiLevelType w:val="hybridMultilevel"/>
    <w:tmpl w:val="97DC46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B1A41"/>
    <w:multiLevelType w:val="hybridMultilevel"/>
    <w:tmpl w:val="C08E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C843C7"/>
    <w:multiLevelType w:val="hybridMultilevel"/>
    <w:tmpl w:val="F16081A8"/>
    <w:lvl w:ilvl="0" w:tplc="97D07328">
      <w:start w:val="1"/>
      <w:numFmt w:val="decimal"/>
      <w:lvlText w:val="%1."/>
      <w:lvlJc w:val="left"/>
      <w:pPr>
        <w:ind w:left="1170" w:hanging="360"/>
      </w:pPr>
      <w:rPr>
        <w:rFonts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E3D0A"/>
    <w:multiLevelType w:val="hybridMultilevel"/>
    <w:tmpl w:val="6CF4423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8"/>
  </w:num>
  <w:num w:numId="4">
    <w:abstractNumId w:val="12"/>
  </w:num>
  <w:num w:numId="5">
    <w:abstractNumId w:val="13"/>
  </w:num>
  <w:num w:numId="6">
    <w:abstractNumId w:val="20"/>
  </w:num>
  <w:num w:numId="7">
    <w:abstractNumId w:val="21"/>
  </w:num>
  <w:num w:numId="8">
    <w:abstractNumId w:val="1"/>
  </w:num>
  <w:num w:numId="9">
    <w:abstractNumId w:val="16"/>
  </w:num>
  <w:num w:numId="10">
    <w:abstractNumId w:val="6"/>
  </w:num>
  <w:num w:numId="11">
    <w:abstractNumId w:val="24"/>
  </w:num>
  <w:num w:numId="12">
    <w:abstractNumId w:val="11"/>
  </w:num>
  <w:num w:numId="13">
    <w:abstractNumId w:val="10"/>
  </w:num>
  <w:num w:numId="14">
    <w:abstractNumId w:val="4"/>
  </w:num>
  <w:num w:numId="15">
    <w:abstractNumId w:val="7"/>
  </w:num>
  <w:num w:numId="16">
    <w:abstractNumId w:val="22"/>
  </w:num>
  <w:num w:numId="17">
    <w:abstractNumId w:val="17"/>
  </w:num>
  <w:num w:numId="18">
    <w:abstractNumId w:val="14"/>
  </w:num>
  <w:num w:numId="19">
    <w:abstractNumId w:val="5"/>
  </w:num>
  <w:num w:numId="20">
    <w:abstractNumId w:val="2"/>
  </w:num>
  <w:num w:numId="21">
    <w:abstractNumId w:val="19"/>
  </w:num>
  <w:num w:numId="22">
    <w:abstractNumId w:val="15"/>
  </w:num>
  <w:num w:numId="23">
    <w:abstractNumId w:val="23"/>
  </w:num>
  <w:num w:numId="24">
    <w:abstractNumId w:val="9"/>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465DE"/>
    <w:rsid w:val="0004733E"/>
    <w:rsid w:val="00060509"/>
    <w:rsid w:val="000613C1"/>
    <w:rsid w:val="0007420A"/>
    <w:rsid w:val="00083740"/>
    <w:rsid w:val="00094136"/>
    <w:rsid w:val="000F10C2"/>
    <w:rsid w:val="000F43B4"/>
    <w:rsid w:val="0010059F"/>
    <w:rsid w:val="00103475"/>
    <w:rsid w:val="001148A8"/>
    <w:rsid w:val="0014316D"/>
    <w:rsid w:val="00146C6E"/>
    <w:rsid w:val="00152CFB"/>
    <w:rsid w:val="00170B14"/>
    <w:rsid w:val="001818D7"/>
    <w:rsid w:val="00185104"/>
    <w:rsid w:val="00191CB8"/>
    <w:rsid w:val="001962BE"/>
    <w:rsid w:val="00196689"/>
    <w:rsid w:val="00196935"/>
    <w:rsid w:val="0019746F"/>
    <w:rsid w:val="001D0D34"/>
    <w:rsid w:val="001D70D4"/>
    <w:rsid w:val="001E7D12"/>
    <w:rsid w:val="002004A8"/>
    <w:rsid w:val="0020379E"/>
    <w:rsid w:val="0020675F"/>
    <w:rsid w:val="00220736"/>
    <w:rsid w:val="00230FE4"/>
    <w:rsid w:val="00233651"/>
    <w:rsid w:val="00254020"/>
    <w:rsid w:val="0025452A"/>
    <w:rsid w:val="00285997"/>
    <w:rsid w:val="002A39EE"/>
    <w:rsid w:val="002B0582"/>
    <w:rsid w:val="002C6AAB"/>
    <w:rsid w:val="002D019A"/>
    <w:rsid w:val="002E48E7"/>
    <w:rsid w:val="002E5306"/>
    <w:rsid w:val="003140D6"/>
    <w:rsid w:val="00324596"/>
    <w:rsid w:val="00336E37"/>
    <w:rsid w:val="00350F22"/>
    <w:rsid w:val="00371EA3"/>
    <w:rsid w:val="003760F4"/>
    <w:rsid w:val="003840CC"/>
    <w:rsid w:val="003B6CEF"/>
    <w:rsid w:val="003C1E17"/>
    <w:rsid w:val="003C37CD"/>
    <w:rsid w:val="003C7871"/>
    <w:rsid w:val="003D7BE7"/>
    <w:rsid w:val="003F3D44"/>
    <w:rsid w:val="00472C6C"/>
    <w:rsid w:val="00480C09"/>
    <w:rsid w:val="00493710"/>
    <w:rsid w:val="00496BCF"/>
    <w:rsid w:val="00497AED"/>
    <w:rsid w:val="004B508F"/>
    <w:rsid w:val="004C7108"/>
    <w:rsid w:val="004E0B99"/>
    <w:rsid w:val="004F6394"/>
    <w:rsid w:val="00505830"/>
    <w:rsid w:val="005103B8"/>
    <w:rsid w:val="005423D4"/>
    <w:rsid w:val="005537B0"/>
    <w:rsid w:val="00560FCF"/>
    <w:rsid w:val="00561BB4"/>
    <w:rsid w:val="0056492B"/>
    <w:rsid w:val="005776FD"/>
    <w:rsid w:val="00583376"/>
    <w:rsid w:val="005928B8"/>
    <w:rsid w:val="00597264"/>
    <w:rsid w:val="005A1D15"/>
    <w:rsid w:val="005B6F05"/>
    <w:rsid w:val="005C17DF"/>
    <w:rsid w:val="005C3607"/>
    <w:rsid w:val="005C5C1E"/>
    <w:rsid w:val="005D009F"/>
    <w:rsid w:val="005D5146"/>
    <w:rsid w:val="005D7B81"/>
    <w:rsid w:val="005E411E"/>
    <w:rsid w:val="005F051C"/>
    <w:rsid w:val="006126B6"/>
    <w:rsid w:val="006474BB"/>
    <w:rsid w:val="006664E9"/>
    <w:rsid w:val="006744F1"/>
    <w:rsid w:val="00690AA5"/>
    <w:rsid w:val="006969B2"/>
    <w:rsid w:val="006C460B"/>
    <w:rsid w:val="006C74DF"/>
    <w:rsid w:val="006F4D70"/>
    <w:rsid w:val="007163E2"/>
    <w:rsid w:val="00744250"/>
    <w:rsid w:val="007764CE"/>
    <w:rsid w:val="007A0BCC"/>
    <w:rsid w:val="007A3710"/>
    <w:rsid w:val="007B07AE"/>
    <w:rsid w:val="007B50D0"/>
    <w:rsid w:val="007D4801"/>
    <w:rsid w:val="007F1F19"/>
    <w:rsid w:val="008052E9"/>
    <w:rsid w:val="00842676"/>
    <w:rsid w:val="00844710"/>
    <w:rsid w:val="00857C10"/>
    <w:rsid w:val="00875924"/>
    <w:rsid w:val="00877EC7"/>
    <w:rsid w:val="00896E94"/>
    <w:rsid w:val="008B0705"/>
    <w:rsid w:val="008B2C07"/>
    <w:rsid w:val="008C6B3A"/>
    <w:rsid w:val="008C71B0"/>
    <w:rsid w:val="008C7A3E"/>
    <w:rsid w:val="00902C9B"/>
    <w:rsid w:val="009135E0"/>
    <w:rsid w:val="00915CA4"/>
    <w:rsid w:val="00927FB5"/>
    <w:rsid w:val="00950820"/>
    <w:rsid w:val="00961071"/>
    <w:rsid w:val="00963062"/>
    <w:rsid w:val="009665D8"/>
    <w:rsid w:val="0097108A"/>
    <w:rsid w:val="009735FA"/>
    <w:rsid w:val="00977ECA"/>
    <w:rsid w:val="00982180"/>
    <w:rsid w:val="009928B2"/>
    <w:rsid w:val="009C61B2"/>
    <w:rsid w:val="009D1FD9"/>
    <w:rsid w:val="009D5928"/>
    <w:rsid w:val="009E6F29"/>
    <w:rsid w:val="00A16664"/>
    <w:rsid w:val="00A20F73"/>
    <w:rsid w:val="00A41969"/>
    <w:rsid w:val="00A55907"/>
    <w:rsid w:val="00A60413"/>
    <w:rsid w:val="00A63E27"/>
    <w:rsid w:val="00A67078"/>
    <w:rsid w:val="00A83658"/>
    <w:rsid w:val="00A85489"/>
    <w:rsid w:val="00A87B1F"/>
    <w:rsid w:val="00AA336E"/>
    <w:rsid w:val="00AA428E"/>
    <w:rsid w:val="00AD1AA6"/>
    <w:rsid w:val="00AE324B"/>
    <w:rsid w:val="00AE60A6"/>
    <w:rsid w:val="00AF1F2A"/>
    <w:rsid w:val="00AF30EF"/>
    <w:rsid w:val="00AF5490"/>
    <w:rsid w:val="00B4633B"/>
    <w:rsid w:val="00B777AF"/>
    <w:rsid w:val="00B8063A"/>
    <w:rsid w:val="00B81789"/>
    <w:rsid w:val="00B86845"/>
    <w:rsid w:val="00B92DF1"/>
    <w:rsid w:val="00BB5BD2"/>
    <w:rsid w:val="00BC6E39"/>
    <w:rsid w:val="00BF13AC"/>
    <w:rsid w:val="00BF1D74"/>
    <w:rsid w:val="00BF4150"/>
    <w:rsid w:val="00C01AA6"/>
    <w:rsid w:val="00C06257"/>
    <w:rsid w:val="00C079B0"/>
    <w:rsid w:val="00C14250"/>
    <w:rsid w:val="00C2297C"/>
    <w:rsid w:val="00C64BB4"/>
    <w:rsid w:val="00C73CF5"/>
    <w:rsid w:val="00C75BD4"/>
    <w:rsid w:val="00C86ED5"/>
    <w:rsid w:val="00C96847"/>
    <w:rsid w:val="00CA53B9"/>
    <w:rsid w:val="00CA5C08"/>
    <w:rsid w:val="00CB63DD"/>
    <w:rsid w:val="00CF2624"/>
    <w:rsid w:val="00CF2F47"/>
    <w:rsid w:val="00D26367"/>
    <w:rsid w:val="00D36448"/>
    <w:rsid w:val="00D574CA"/>
    <w:rsid w:val="00D71BC4"/>
    <w:rsid w:val="00DB1032"/>
    <w:rsid w:val="00DB1DE9"/>
    <w:rsid w:val="00DB7073"/>
    <w:rsid w:val="00DD025A"/>
    <w:rsid w:val="00DD6ADB"/>
    <w:rsid w:val="00DD7D7A"/>
    <w:rsid w:val="00DE18E2"/>
    <w:rsid w:val="00E03AD5"/>
    <w:rsid w:val="00E43345"/>
    <w:rsid w:val="00E70D15"/>
    <w:rsid w:val="00E97C17"/>
    <w:rsid w:val="00EA3809"/>
    <w:rsid w:val="00ED0A0D"/>
    <w:rsid w:val="00F03DC0"/>
    <w:rsid w:val="00F2705D"/>
    <w:rsid w:val="00F40368"/>
    <w:rsid w:val="00F422E1"/>
    <w:rsid w:val="00F563C9"/>
    <w:rsid w:val="00F67BBD"/>
    <w:rsid w:val="00F71F8E"/>
    <w:rsid w:val="00F74762"/>
    <w:rsid w:val="00F95133"/>
    <w:rsid w:val="00FA28D8"/>
    <w:rsid w:val="00FB0592"/>
    <w:rsid w:val="00FB139B"/>
    <w:rsid w:val="00FD540B"/>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B8CF06F"/>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 w:type="character" w:customStyle="1" w:styleId="Heading1Char">
    <w:name w:val="Heading 1 Char"/>
    <w:basedOn w:val="DefaultParagraphFont"/>
    <w:link w:val="Heading1"/>
    <w:rsid w:val="000613C1"/>
    <w:rPr>
      <w:rFonts w:eastAsia="Arial Unicode MS"/>
      <w:b/>
      <w:bCs/>
      <w:szCs w:val="12"/>
    </w:rPr>
  </w:style>
  <w:style w:type="character" w:customStyle="1" w:styleId="citation-volume-pages">
    <w:name w:val="citation-volume-pages"/>
    <w:basedOn w:val="DefaultParagraphFont"/>
    <w:rsid w:val="00AE6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416638056">
      <w:bodyDiv w:val="1"/>
      <w:marLeft w:val="0"/>
      <w:marRight w:val="0"/>
      <w:marTop w:val="0"/>
      <w:marBottom w:val="0"/>
      <w:divBdr>
        <w:top w:val="none" w:sz="0" w:space="0" w:color="auto"/>
        <w:left w:val="none" w:sz="0" w:space="0" w:color="auto"/>
        <w:bottom w:val="none" w:sz="0" w:space="0" w:color="auto"/>
        <w:right w:val="none" w:sz="0" w:space="0" w:color="auto"/>
      </w:divBdr>
      <w:divsChild>
        <w:div w:id="773213247">
          <w:marLeft w:val="0"/>
          <w:marRight w:val="0"/>
          <w:marTop w:val="0"/>
          <w:marBottom w:val="0"/>
          <w:divBdr>
            <w:top w:val="none" w:sz="0" w:space="0" w:color="auto"/>
            <w:left w:val="none" w:sz="0" w:space="0" w:color="auto"/>
            <w:bottom w:val="none" w:sz="0" w:space="0" w:color="auto"/>
            <w:right w:val="none" w:sz="0" w:space="0" w:color="auto"/>
          </w:divBdr>
        </w:div>
      </w:divsChild>
    </w:div>
    <w:div w:id="836923644">
      <w:bodyDiv w:val="1"/>
      <w:marLeft w:val="0"/>
      <w:marRight w:val="0"/>
      <w:marTop w:val="0"/>
      <w:marBottom w:val="0"/>
      <w:divBdr>
        <w:top w:val="none" w:sz="0" w:space="0" w:color="auto"/>
        <w:left w:val="none" w:sz="0" w:space="0" w:color="auto"/>
        <w:bottom w:val="none" w:sz="0" w:space="0" w:color="auto"/>
        <w:right w:val="none" w:sz="0" w:space="0" w:color="auto"/>
      </w:divBdr>
      <w:divsChild>
        <w:div w:id="493838054">
          <w:marLeft w:val="0"/>
          <w:marRight w:val="1"/>
          <w:marTop w:val="0"/>
          <w:marBottom w:val="0"/>
          <w:divBdr>
            <w:top w:val="none" w:sz="0" w:space="0" w:color="auto"/>
            <w:left w:val="none" w:sz="0" w:space="0" w:color="auto"/>
            <w:bottom w:val="none" w:sz="0" w:space="0" w:color="auto"/>
            <w:right w:val="none" w:sz="0" w:space="0" w:color="auto"/>
          </w:divBdr>
          <w:divsChild>
            <w:div w:id="874583045">
              <w:marLeft w:val="0"/>
              <w:marRight w:val="0"/>
              <w:marTop w:val="0"/>
              <w:marBottom w:val="0"/>
              <w:divBdr>
                <w:top w:val="none" w:sz="0" w:space="0" w:color="auto"/>
                <w:left w:val="none" w:sz="0" w:space="0" w:color="auto"/>
                <w:bottom w:val="none" w:sz="0" w:space="0" w:color="auto"/>
                <w:right w:val="none" w:sz="0" w:space="0" w:color="auto"/>
              </w:divBdr>
              <w:divsChild>
                <w:div w:id="1778866607">
                  <w:marLeft w:val="0"/>
                  <w:marRight w:val="1"/>
                  <w:marTop w:val="0"/>
                  <w:marBottom w:val="0"/>
                  <w:divBdr>
                    <w:top w:val="none" w:sz="0" w:space="0" w:color="auto"/>
                    <w:left w:val="none" w:sz="0" w:space="0" w:color="auto"/>
                    <w:bottom w:val="none" w:sz="0" w:space="0" w:color="auto"/>
                    <w:right w:val="none" w:sz="0" w:space="0" w:color="auto"/>
                  </w:divBdr>
                  <w:divsChild>
                    <w:div w:id="926963654">
                      <w:marLeft w:val="0"/>
                      <w:marRight w:val="0"/>
                      <w:marTop w:val="0"/>
                      <w:marBottom w:val="0"/>
                      <w:divBdr>
                        <w:top w:val="none" w:sz="0" w:space="0" w:color="auto"/>
                        <w:left w:val="none" w:sz="0" w:space="0" w:color="auto"/>
                        <w:bottom w:val="none" w:sz="0" w:space="0" w:color="auto"/>
                        <w:right w:val="none" w:sz="0" w:space="0" w:color="auto"/>
                      </w:divBdr>
                      <w:divsChild>
                        <w:div w:id="746532186">
                          <w:marLeft w:val="0"/>
                          <w:marRight w:val="0"/>
                          <w:marTop w:val="0"/>
                          <w:marBottom w:val="0"/>
                          <w:divBdr>
                            <w:top w:val="none" w:sz="0" w:space="0" w:color="auto"/>
                            <w:left w:val="none" w:sz="0" w:space="0" w:color="auto"/>
                            <w:bottom w:val="none" w:sz="0" w:space="0" w:color="auto"/>
                            <w:right w:val="none" w:sz="0" w:space="0" w:color="auto"/>
                          </w:divBdr>
                          <w:divsChild>
                            <w:div w:id="1893535589">
                              <w:marLeft w:val="0"/>
                              <w:marRight w:val="0"/>
                              <w:marTop w:val="0"/>
                              <w:marBottom w:val="0"/>
                              <w:divBdr>
                                <w:top w:val="none" w:sz="0" w:space="0" w:color="auto"/>
                                <w:left w:val="none" w:sz="0" w:space="0" w:color="auto"/>
                                <w:bottom w:val="none" w:sz="0" w:space="0" w:color="auto"/>
                                <w:right w:val="none" w:sz="0" w:space="0" w:color="auto"/>
                              </w:divBdr>
                            </w:div>
                          </w:divsChild>
                        </w:div>
                        <w:div w:id="1213151547">
                          <w:marLeft w:val="0"/>
                          <w:marRight w:val="0"/>
                          <w:marTop w:val="0"/>
                          <w:marBottom w:val="0"/>
                          <w:divBdr>
                            <w:top w:val="none" w:sz="0" w:space="0" w:color="auto"/>
                            <w:left w:val="none" w:sz="0" w:space="0" w:color="auto"/>
                            <w:bottom w:val="none" w:sz="0" w:space="0" w:color="auto"/>
                            <w:right w:val="none" w:sz="0" w:space="0" w:color="auto"/>
                          </w:divBdr>
                          <w:divsChild>
                            <w:div w:id="188185867">
                              <w:marLeft w:val="0"/>
                              <w:marRight w:val="0"/>
                              <w:marTop w:val="120"/>
                              <w:marBottom w:val="360"/>
                              <w:divBdr>
                                <w:top w:val="none" w:sz="0" w:space="0" w:color="auto"/>
                                <w:left w:val="none" w:sz="0" w:space="0" w:color="auto"/>
                                <w:bottom w:val="none" w:sz="0" w:space="0" w:color="auto"/>
                                <w:right w:val="none" w:sz="0" w:space="0" w:color="auto"/>
                              </w:divBdr>
                              <w:divsChild>
                                <w:div w:id="14941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ms.gov"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scape.com/viewarticle/718292_1%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2C655-A85B-4F21-86A6-D4F53E3CF9B6}">
  <ds:schemaRefs>
    <ds:schemaRef ds:uri="http://schemas.microsoft.com/sharepoint/v3/contenttype/forms"/>
  </ds:schemaRefs>
</ds:datastoreItem>
</file>

<file path=customXml/itemProps2.xml><?xml version="1.0" encoding="utf-8"?>
<ds:datastoreItem xmlns:ds="http://schemas.openxmlformats.org/officeDocument/2006/customXml" ds:itemID="{EEAEFCB3-9B7B-49F9-8C96-90327908470A}">
  <ds:schemaRef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DD86648-A756-45FA-BBED-EEDA5AB7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15601</Characters>
  <Application>Microsoft Office Word</Application>
  <DocSecurity>2</DocSecurity>
  <Lines>130</Lines>
  <Paragraphs>36</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2019-07-29T19:17:00Z</cp:lastPrinted>
  <dcterms:created xsi:type="dcterms:W3CDTF">2019-08-26T20:38:00Z</dcterms:created>
  <dcterms:modified xsi:type="dcterms:W3CDTF">2019-08-26T20:38:00Z</dcterms:modified>
</cp:coreProperties>
</file>