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FE0A5" w14:textId="6CCDC7EB" w:rsidR="00D574CA" w:rsidRPr="00B777AF" w:rsidRDefault="00230FE4"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Clinic</w:t>
      </w:r>
      <w:r w:rsidRPr="005D7B81">
        <w:rPr>
          <w:rFonts w:ascii="Times New Roman" w:hAnsi="Times New Roman"/>
          <w:color w:val="00548C"/>
          <w:sz w:val="36"/>
        </w:rPr>
        <w:t xml:space="preserve">al </w:t>
      </w:r>
      <w:r>
        <w:rPr>
          <w:rFonts w:ascii="Times New Roman" w:hAnsi="Times New Roman"/>
          <w:color w:val="00548C"/>
          <w:sz w:val="36"/>
        </w:rPr>
        <w:t>Policy:</w:t>
      </w:r>
      <w:r w:rsidR="00335DE4">
        <w:rPr>
          <w:rFonts w:ascii="Times New Roman" w:hAnsi="Times New Roman"/>
          <w:color w:val="00548C"/>
          <w:sz w:val="36"/>
        </w:rPr>
        <w:t xml:space="preserve"> </w:t>
      </w:r>
      <w:r w:rsidR="00436865">
        <w:rPr>
          <w:rFonts w:ascii="Times New Roman" w:hAnsi="Times New Roman"/>
          <w:color w:val="00548C"/>
          <w:sz w:val="36"/>
        </w:rPr>
        <w:t>Nerve</w:t>
      </w:r>
      <w:r w:rsidR="00A82C7D">
        <w:rPr>
          <w:rFonts w:ascii="Times New Roman" w:hAnsi="Times New Roman"/>
          <w:color w:val="00548C"/>
          <w:sz w:val="36"/>
        </w:rPr>
        <w:t xml:space="preserve"> </w:t>
      </w:r>
      <w:r w:rsidR="003B20F0">
        <w:rPr>
          <w:rFonts w:ascii="Times New Roman" w:hAnsi="Times New Roman"/>
          <w:color w:val="00548C"/>
          <w:sz w:val="36"/>
        </w:rPr>
        <w:t>B</w:t>
      </w:r>
      <w:r w:rsidR="00A82C7D">
        <w:rPr>
          <w:rFonts w:ascii="Times New Roman" w:hAnsi="Times New Roman"/>
          <w:color w:val="00548C"/>
          <w:sz w:val="36"/>
        </w:rPr>
        <w:t>locks</w:t>
      </w:r>
      <w:r w:rsidR="00335DE4">
        <w:rPr>
          <w:rFonts w:ascii="Times New Roman" w:hAnsi="Times New Roman"/>
          <w:color w:val="00548C"/>
          <w:sz w:val="36"/>
        </w:rPr>
        <w:t xml:space="preserve"> for </w:t>
      </w:r>
      <w:r w:rsidR="003B20F0">
        <w:rPr>
          <w:rFonts w:ascii="Times New Roman" w:hAnsi="Times New Roman"/>
          <w:color w:val="00548C"/>
          <w:sz w:val="36"/>
        </w:rPr>
        <w:t>P</w:t>
      </w:r>
      <w:r w:rsidR="00335DE4">
        <w:rPr>
          <w:rFonts w:ascii="Times New Roman" w:hAnsi="Times New Roman"/>
          <w:color w:val="00548C"/>
          <w:sz w:val="36"/>
        </w:rPr>
        <w:t xml:space="preserve">ain </w:t>
      </w:r>
      <w:r w:rsidR="003B20F0">
        <w:rPr>
          <w:rFonts w:ascii="Times New Roman" w:hAnsi="Times New Roman"/>
          <w:color w:val="00548C"/>
          <w:sz w:val="36"/>
        </w:rPr>
        <w:t>M</w:t>
      </w:r>
      <w:r w:rsidR="00335DE4">
        <w:rPr>
          <w:rFonts w:ascii="Times New Roman" w:hAnsi="Times New Roman"/>
          <w:color w:val="00548C"/>
          <w:sz w:val="36"/>
        </w:rPr>
        <w:t>anagement</w:t>
      </w:r>
      <w:r>
        <w:rPr>
          <w:rFonts w:ascii="Times New Roman" w:hAnsi="Times New Roman"/>
          <w:color w:val="00548C"/>
          <w:sz w:val="36"/>
        </w:rPr>
        <w:t xml:space="preserve"> </w:t>
      </w:r>
    </w:p>
    <w:p w14:paraId="2FE9FA00" w14:textId="77777777" w:rsidR="00B777AF" w:rsidRDefault="00B777AF" w:rsidP="00D574CA">
      <w:pPr>
        <w:pStyle w:val="PolicyMainHead"/>
        <w:tabs>
          <w:tab w:val="left" w:pos="360"/>
        </w:tabs>
        <w:spacing w:after="0" w:line="240" w:lineRule="auto"/>
        <w:rPr>
          <w:color w:val="00548C"/>
          <w:sz w:val="24"/>
        </w:rPr>
        <w:sectPr w:rsidR="00B777AF" w:rsidSect="00CB63DD">
          <w:headerReference w:type="default" r:id="rId11"/>
          <w:footerReference w:type="default" r:id="rId12"/>
          <w:headerReference w:type="first" r:id="rId13"/>
          <w:footerReference w:type="first" r:id="rId14"/>
          <w:pgSz w:w="12240" w:h="15840" w:code="1"/>
          <w:pgMar w:top="1440" w:right="907" w:bottom="1152" w:left="1440" w:header="576" w:footer="288" w:gutter="0"/>
          <w:cols w:space="720"/>
          <w:titlePg/>
          <w:docGrid w:linePitch="360"/>
        </w:sectPr>
      </w:pPr>
    </w:p>
    <w:p w14:paraId="3E28A698" w14:textId="77777777" w:rsidR="00480C09" w:rsidRPr="003D7BE7" w:rsidRDefault="00D574CA" w:rsidP="00CB63DD">
      <w:pPr>
        <w:pStyle w:val="PolicyMainHead"/>
        <w:spacing w:after="0" w:line="240" w:lineRule="auto"/>
        <w:rPr>
          <w:rFonts w:ascii="Times New Roman" w:hAnsi="Times New Roman"/>
          <w:color w:val="00548C"/>
          <w:sz w:val="24"/>
          <w:szCs w:val="24"/>
        </w:rPr>
        <w:sectPr w:rsidR="00480C09" w:rsidRPr="003D7BE7" w:rsidSect="00CB63DD">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sidR="00C96847">
        <w:rPr>
          <w:rFonts w:ascii="Times New Roman" w:hAnsi="Times New Roman"/>
          <w:color w:val="00548C"/>
          <w:sz w:val="24"/>
          <w:szCs w:val="24"/>
        </w:rPr>
        <w:t>MP.</w:t>
      </w:r>
      <w:r w:rsidR="00335DE4">
        <w:rPr>
          <w:rFonts w:ascii="Times New Roman" w:hAnsi="Times New Roman"/>
          <w:color w:val="00548C"/>
          <w:sz w:val="24"/>
          <w:szCs w:val="24"/>
        </w:rPr>
        <w:t>170</w:t>
      </w:r>
      <w:r w:rsidR="00335DE4">
        <w:rPr>
          <w:rFonts w:ascii="Times New Roman" w:hAnsi="Times New Roman"/>
          <w:color w:val="00548C"/>
          <w:sz w:val="24"/>
          <w:szCs w:val="24"/>
        </w:rPr>
        <w:tab/>
      </w:r>
      <w:r w:rsidR="00CB63DD">
        <w:rPr>
          <w:rFonts w:ascii="Times New Roman" w:hAnsi="Times New Roman"/>
          <w:color w:val="00548C"/>
          <w:sz w:val="24"/>
          <w:szCs w:val="24"/>
        </w:rPr>
        <w:tab/>
        <w:t xml:space="preserve">  </w:t>
      </w:r>
      <w:r w:rsidR="00CB63DD">
        <w:rPr>
          <w:rFonts w:ascii="Times New Roman" w:hAnsi="Times New Roman"/>
          <w:color w:val="00548C"/>
          <w:sz w:val="24"/>
          <w:szCs w:val="24"/>
        </w:rPr>
        <w:tab/>
      </w:r>
      <w:r w:rsidR="00480C09" w:rsidRPr="003D7BE7">
        <w:rPr>
          <w:rFonts w:ascii="Times New Roman" w:hAnsi="Times New Roman"/>
          <w:color w:val="00548C"/>
          <w:sz w:val="24"/>
          <w:szCs w:val="24"/>
        </w:rPr>
        <w:tab/>
      </w:r>
      <w:r w:rsidR="00CB63DD">
        <w:rPr>
          <w:rFonts w:ascii="Times New Roman" w:hAnsi="Times New Roman"/>
          <w:color w:val="00548C"/>
          <w:sz w:val="24"/>
          <w:szCs w:val="24"/>
        </w:rPr>
        <w:tab/>
        <w:t xml:space="preserve">     </w:t>
      </w:r>
      <w:hyperlink w:anchor="Coding_Implications" w:history="1">
        <w:r w:rsidR="007B50D0" w:rsidRPr="00875924">
          <w:rPr>
            <w:rStyle w:val="Hyperlink"/>
            <w:rFonts w:ascii="Times New Roman" w:hAnsi="Times New Roman"/>
            <w:sz w:val="24"/>
            <w:szCs w:val="24"/>
          </w:rPr>
          <w:t>Coding Implications</w:t>
        </w:r>
      </w:hyperlink>
      <w:r w:rsidR="007B50D0" w:rsidRPr="003D7BE7">
        <w:rPr>
          <w:rFonts w:ascii="Times New Roman" w:hAnsi="Times New Roman"/>
          <w:color w:val="00548C"/>
          <w:sz w:val="24"/>
          <w:szCs w:val="24"/>
        </w:rPr>
        <w:t xml:space="preserve"> </w:t>
      </w:r>
    </w:p>
    <w:p w14:paraId="388BF1D5" w14:textId="720600CB" w:rsidR="00875924" w:rsidRDefault="00D574CA" w:rsidP="00CB63DD">
      <w:pPr>
        <w:pStyle w:val="PolicyMainHead"/>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172708">
        <w:rPr>
          <w:rFonts w:ascii="Times New Roman" w:hAnsi="Times New Roman"/>
          <w:color w:val="00548C"/>
          <w:sz w:val="24"/>
          <w:szCs w:val="24"/>
        </w:rPr>
        <w:t>0</w:t>
      </w:r>
      <w:r w:rsidR="00EE18B1">
        <w:rPr>
          <w:rFonts w:ascii="Times New Roman" w:hAnsi="Times New Roman"/>
          <w:color w:val="00548C"/>
          <w:sz w:val="24"/>
          <w:szCs w:val="24"/>
        </w:rPr>
        <w:t>8</w:t>
      </w:r>
      <w:r w:rsidR="00172708">
        <w:rPr>
          <w:rFonts w:ascii="Times New Roman" w:hAnsi="Times New Roman"/>
          <w:color w:val="00548C"/>
          <w:sz w:val="24"/>
          <w:szCs w:val="24"/>
        </w:rPr>
        <w:t>/</w:t>
      </w:r>
      <w:r w:rsidR="00474A2E">
        <w:rPr>
          <w:rFonts w:ascii="Times New Roman" w:hAnsi="Times New Roman"/>
          <w:color w:val="00548C"/>
          <w:sz w:val="24"/>
          <w:szCs w:val="24"/>
        </w:rPr>
        <w:t>19</w:t>
      </w:r>
    </w:p>
    <w:p w14:paraId="6BC93F55" w14:textId="77777777" w:rsidR="00875924" w:rsidRDefault="00F36466" w:rsidP="00875924">
      <w:pPr>
        <w:pStyle w:val="PolicyMainHead"/>
        <w:tabs>
          <w:tab w:val="left" w:pos="360"/>
        </w:tabs>
        <w:spacing w:after="0" w:line="240" w:lineRule="auto"/>
        <w:jc w:val="right"/>
        <w:rPr>
          <w:rStyle w:val="Strong"/>
          <w:rFonts w:ascii="Times New Roman" w:hAnsi="Times New Roman"/>
          <w:b w:val="0"/>
          <w:bCs w:val="0"/>
          <w:u w:val="single"/>
        </w:rPr>
        <w:sectPr w:rsidR="00875924" w:rsidSect="00CB63DD">
          <w:type w:val="continuous"/>
          <w:pgSz w:w="12240" w:h="15840" w:code="1"/>
          <w:pgMar w:top="1440" w:right="1170" w:bottom="1440" w:left="1440" w:header="576" w:footer="288" w:gutter="0"/>
          <w:cols w:num="2" w:space="720"/>
          <w:titlePg/>
          <w:docGrid w:linePitch="360"/>
        </w:sectPr>
      </w:pPr>
      <w:hyperlink w:anchor="Revision_Log" w:history="1">
        <w:r w:rsidR="007B50D0" w:rsidRPr="003D7BE7">
          <w:rPr>
            <w:rStyle w:val="Hyperlink"/>
            <w:rFonts w:ascii="Times New Roman" w:hAnsi="Times New Roman"/>
            <w:sz w:val="24"/>
            <w:szCs w:val="24"/>
          </w:rPr>
          <w:t>Revision Log</w:t>
        </w:r>
      </w:hyperlink>
      <w:r w:rsidR="00875924">
        <w:rPr>
          <w:rFonts w:ascii="Times New Roman" w:hAnsi="Times New Roman"/>
          <w:color w:val="00548C"/>
          <w:sz w:val="24"/>
          <w:szCs w:val="24"/>
        </w:rPr>
        <w:t xml:space="preserve"> </w:t>
      </w:r>
    </w:p>
    <w:p w14:paraId="228FA09C" w14:textId="77777777" w:rsidR="005D7B81" w:rsidRDefault="00032D3F" w:rsidP="00F26314">
      <w:r>
        <w:tab/>
      </w:r>
    </w:p>
    <w:p w14:paraId="7B11368B" w14:textId="77777777" w:rsidR="00D574CA" w:rsidRPr="005D7B81"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sidR="00493710">
        <w:rPr>
          <w:rFonts w:ascii="Times New Roman" w:hAnsi="Times New Roman" w:cs="Times New Roman"/>
          <w:b/>
          <w:color w:val="00548C"/>
        </w:rPr>
        <w:t>is</w:t>
      </w:r>
      <w:r w:rsidRPr="005D7B81">
        <w:rPr>
          <w:rFonts w:ascii="Times New Roman" w:hAnsi="Times New Roman" w:cs="Times New Roman"/>
          <w:b/>
          <w:color w:val="00548C"/>
        </w:rPr>
        <w:t xml:space="preserve"> policy for</w:t>
      </w:r>
      <w:r w:rsidR="00493710">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sidR="00493710">
        <w:rPr>
          <w:rFonts w:ascii="Times New Roman" w:hAnsi="Times New Roman" w:cs="Times New Roman"/>
          <w:b/>
          <w:color w:val="00548C"/>
        </w:rPr>
        <w:t>.</w:t>
      </w:r>
    </w:p>
    <w:p w14:paraId="5E666356" w14:textId="77777777" w:rsidR="009E2339" w:rsidRDefault="009E2339" w:rsidP="00F26314"/>
    <w:p w14:paraId="18FDC95D" w14:textId="77777777" w:rsidR="00583376" w:rsidRPr="00F26314" w:rsidRDefault="00583376" w:rsidP="00F26314">
      <w:pPr>
        <w:pStyle w:val="Heading1"/>
        <w:rPr>
          <w:sz w:val="24"/>
        </w:rPr>
      </w:pPr>
      <w:bookmarkStart w:id="0" w:name="_Toc522612304"/>
      <w:bookmarkStart w:id="1" w:name="_Toc522612378"/>
      <w:bookmarkStart w:id="2" w:name="_Toc522621287"/>
      <w:r w:rsidRPr="00F26314">
        <w:rPr>
          <w:sz w:val="24"/>
        </w:rPr>
        <w:t>Description</w:t>
      </w:r>
      <w:bookmarkEnd w:id="0"/>
      <w:bookmarkEnd w:id="1"/>
      <w:bookmarkEnd w:id="2"/>
      <w:r w:rsidRPr="00F26314">
        <w:rPr>
          <w:sz w:val="24"/>
        </w:rPr>
        <w:t xml:space="preserve"> </w:t>
      </w:r>
    </w:p>
    <w:p w14:paraId="5B22B692" w14:textId="77777777" w:rsidR="005D7B81" w:rsidRDefault="00601FAA" w:rsidP="00601FAA">
      <w:r w:rsidRPr="004306D2">
        <w:t>Nerve blocks are the temporary interruption of conduction of impulses in peripheral nerves or nerve trunks created by the injection of local anesthetic solutions.</w:t>
      </w:r>
      <w:r>
        <w:t xml:space="preserve"> They can be used to identify the source of pain or to treat pain.</w:t>
      </w:r>
    </w:p>
    <w:p w14:paraId="5DC2EB4F" w14:textId="77777777" w:rsidR="00601FAA" w:rsidRPr="00B777AF" w:rsidRDefault="00601FAA" w:rsidP="00601FAA"/>
    <w:p w14:paraId="19CA2199" w14:textId="77777777" w:rsidR="00583376" w:rsidRDefault="00583376">
      <w:pPr>
        <w:pStyle w:val="Heading2"/>
        <w:rPr>
          <w:u w:val="none"/>
        </w:rPr>
      </w:pPr>
      <w:bookmarkStart w:id="3" w:name="_Toc522612305"/>
      <w:bookmarkStart w:id="4" w:name="_Toc522612379"/>
      <w:bookmarkStart w:id="5" w:name="_Toc522621288"/>
      <w:r w:rsidRPr="00B777AF">
        <w:rPr>
          <w:u w:val="none"/>
        </w:rPr>
        <w:t>Policy/Criteria</w:t>
      </w:r>
      <w:bookmarkEnd w:id="3"/>
      <w:bookmarkEnd w:id="4"/>
      <w:bookmarkEnd w:id="5"/>
    </w:p>
    <w:p w14:paraId="7A77B3A2" w14:textId="77777777" w:rsidR="00F07282" w:rsidRDefault="00F07282" w:rsidP="00F07282"/>
    <w:p w14:paraId="5D3351E0" w14:textId="77777777" w:rsidR="00F07282" w:rsidRPr="0017256B" w:rsidRDefault="00F07282" w:rsidP="00F07282">
      <w:pPr>
        <w:pStyle w:val="NormalWeb"/>
        <w:widowControl w:val="0"/>
        <w:spacing w:before="0" w:beforeAutospacing="0" w:after="0" w:afterAutospacing="0"/>
        <w:rPr>
          <w:rFonts w:ascii="Times New Roman" w:eastAsia="Times New Roman" w:hAnsi="Times New Roman" w:cs="Times New Roman"/>
        </w:rPr>
      </w:pPr>
      <w:r w:rsidRPr="00834BF0">
        <w:rPr>
          <w:rFonts w:ascii="Times New Roman" w:eastAsia="Times New Roman" w:hAnsi="Times New Roman" w:cs="Times New Roman"/>
        </w:rPr>
        <w:t>It is the policy of health plans affiliated with Centene Corporation</w:t>
      </w:r>
      <w:r w:rsidRPr="002B0255">
        <w:rPr>
          <w:rFonts w:ascii="Times New Roman" w:eastAsia="Times New Roman" w:hAnsi="Times New Roman" w:cs="Times New Roman"/>
          <w:vertAlign w:val="superscript"/>
        </w:rPr>
        <w:t>®</w:t>
      </w:r>
      <w:r w:rsidRPr="00834BF0">
        <w:rPr>
          <w:rFonts w:ascii="Times New Roman" w:eastAsia="Times New Roman" w:hAnsi="Times New Roman" w:cs="Times New Roman"/>
        </w:rPr>
        <w:t xml:space="preserve"> that invasive pain management procedures performed by a physician are </w:t>
      </w:r>
      <w:r w:rsidRPr="002B0255">
        <w:rPr>
          <w:rFonts w:ascii="Times New Roman" w:eastAsia="Times New Roman" w:hAnsi="Times New Roman" w:cs="Times New Roman"/>
          <w:b/>
        </w:rPr>
        <w:t>medically necessary</w:t>
      </w:r>
      <w:r w:rsidRPr="00834BF0">
        <w:rPr>
          <w:rFonts w:ascii="Times New Roman" w:eastAsia="Times New Roman" w:hAnsi="Times New Roman" w:cs="Times New Roman"/>
        </w:rPr>
        <w:t xml:space="preserve"> </w:t>
      </w:r>
      <w:r w:rsidRPr="00214A3F">
        <w:rPr>
          <w:rFonts w:ascii="Times New Roman" w:eastAsia="Times New Roman" w:hAnsi="Times New Roman" w:cs="Times New Roman"/>
        </w:rPr>
        <w:t xml:space="preserve">when </w:t>
      </w:r>
      <w:r w:rsidRPr="00224176">
        <w:rPr>
          <w:rFonts w:ascii="Times New Roman" w:eastAsia="Times New Roman" w:hAnsi="Times New Roman" w:cs="Times New Roman"/>
          <w:i/>
        </w:rPr>
        <w:t xml:space="preserve">the relevant criteria are met and the patient receives </w:t>
      </w:r>
      <w:r w:rsidRPr="00224176">
        <w:rPr>
          <w:rFonts w:ascii="Times New Roman" w:eastAsia="Times New Roman" w:hAnsi="Times New Roman" w:cs="Times New Roman"/>
          <w:i/>
          <w:iCs/>
        </w:rPr>
        <w:t>only one</w:t>
      </w:r>
      <w:r w:rsidRPr="00224176">
        <w:rPr>
          <w:rFonts w:ascii="Times New Roman" w:eastAsia="Times New Roman" w:hAnsi="Times New Roman" w:cs="Times New Roman"/>
          <w:i/>
        </w:rPr>
        <w:t xml:space="preserve"> procedure per visit, with or without radiographic guidance.</w:t>
      </w:r>
      <w:r>
        <w:rPr>
          <w:rFonts w:ascii="Times New Roman" w:eastAsia="Times New Roman" w:hAnsi="Times New Roman" w:cs="Times New Roman"/>
        </w:rPr>
        <w:t xml:space="preserve">  </w:t>
      </w:r>
    </w:p>
    <w:sdt>
      <w:sdtPr>
        <w:rPr>
          <w:rFonts w:ascii="Times New Roman" w:eastAsia="Times New Roman" w:hAnsi="Times New Roman" w:cs="Times New Roman"/>
          <w:color w:val="auto"/>
          <w:sz w:val="24"/>
          <w:szCs w:val="24"/>
        </w:rPr>
        <w:id w:val="603453899"/>
        <w:docPartObj>
          <w:docPartGallery w:val="Table of Contents"/>
          <w:docPartUnique/>
        </w:docPartObj>
      </w:sdtPr>
      <w:sdtEndPr>
        <w:rPr>
          <w:b/>
          <w:bCs/>
          <w:noProof/>
        </w:rPr>
      </w:sdtEndPr>
      <w:sdtContent>
        <w:p w14:paraId="5D38E6E2" w14:textId="7382F5E8" w:rsidR="00FA7412" w:rsidRPr="00FA7412" w:rsidRDefault="00380FC1" w:rsidP="00FA7412">
          <w:pPr>
            <w:pStyle w:val="TOCHeading"/>
            <w:rPr>
              <w:rFonts w:ascii="Times New Roman" w:hAnsi="Times New Roman" w:cs="Times New Roman"/>
              <w:b/>
              <w:color w:val="auto"/>
              <w:sz w:val="24"/>
              <w:szCs w:val="24"/>
            </w:rPr>
          </w:pPr>
          <w:r w:rsidRPr="00380FC1">
            <w:rPr>
              <w:rFonts w:ascii="Times New Roman" w:hAnsi="Times New Roman" w:cs="Times New Roman"/>
              <w:b/>
              <w:color w:val="auto"/>
              <w:sz w:val="24"/>
              <w:szCs w:val="24"/>
            </w:rPr>
            <w:t>Table of Contents</w:t>
          </w:r>
          <w:r w:rsidRPr="00380FC1">
            <w:rPr>
              <w:b/>
              <w:bCs/>
              <w:noProof/>
            </w:rPr>
            <w:fldChar w:fldCharType="begin"/>
          </w:r>
          <w:r w:rsidRPr="00380FC1">
            <w:rPr>
              <w:b/>
              <w:bCs/>
              <w:noProof/>
            </w:rPr>
            <w:instrText xml:space="preserve"> TOC \o "1-3" \h \z \u </w:instrText>
          </w:r>
          <w:r w:rsidRPr="00380FC1">
            <w:rPr>
              <w:b/>
              <w:bCs/>
              <w:noProof/>
            </w:rPr>
            <w:fldChar w:fldCharType="separate"/>
          </w:r>
        </w:p>
        <w:p w14:paraId="6AFE5A18" w14:textId="07AD2BE1" w:rsidR="00FA7412" w:rsidRDefault="00F36466" w:rsidP="00FA7412">
          <w:pPr>
            <w:pStyle w:val="TOC1"/>
            <w:numPr>
              <w:ilvl w:val="0"/>
              <w:numId w:val="41"/>
            </w:numPr>
            <w:tabs>
              <w:tab w:val="left" w:pos="480"/>
              <w:tab w:val="right" w:leader="dot" w:pos="9350"/>
            </w:tabs>
            <w:rPr>
              <w:rFonts w:asciiTheme="minorHAnsi" w:eastAsiaTheme="minorEastAsia" w:hAnsiTheme="minorHAnsi" w:cstheme="minorBidi"/>
              <w:noProof/>
              <w:sz w:val="22"/>
              <w:szCs w:val="22"/>
            </w:rPr>
          </w:pPr>
          <w:hyperlink w:anchor="_Toc522621289" w:history="1">
            <w:r w:rsidR="00FA7412" w:rsidRPr="00BF114F">
              <w:rPr>
                <w:rStyle w:val="Hyperlink"/>
                <w:noProof/>
              </w:rPr>
              <w:t>Occipital Nerve Block</w:t>
            </w:r>
            <w:r w:rsidR="00FA7412">
              <w:rPr>
                <w:noProof/>
                <w:webHidden/>
              </w:rPr>
              <w:tab/>
            </w:r>
            <w:r w:rsidR="00FA7412">
              <w:rPr>
                <w:noProof/>
                <w:webHidden/>
              </w:rPr>
              <w:fldChar w:fldCharType="begin"/>
            </w:r>
            <w:r w:rsidR="00FA7412">
              <w:rPr>
                <w:noProof/>
                <w:webHidden/>
              </w:rPr>
              <w:instrText xml:space="preserve"> PAGEREF _Toc522621289 \h </w:instrText>
            </w:r>
            <w:r w:rsidR="00FA7412">
              <w:rPr>
                <w:noProof/>
                <w:webHidden/>
              </w:rPr>
            </w:r>
            <w:r w:rsidR="00FA7412">
              <w:rPr>
                <w:noProof/>
                <w:webHidden/>
              </w:rPr>
              <w:fldChar w:fldCharType="separate"/>
            </w:r>
            <w:r w:rsidR="00D572B2">
              <w:rPr>
                <w:noProof/>
                <w:webHidden/>
              </w:rPr>
              <w:t>1</w:t>
            </w:r>
            <w:r w:rsidR="00FA7412">
              <w:rPr>
                <w:noProof/>
                <w:webHidden/>
              </w:rPr>
              <w:fldChar w:fldCharType="end"/>
            </w:r>
          </w:hyperlink>
        </w:p>
        <w:p w14:paraId="3AD33D6F" w14:textId="54C19FA7" w:rsidR="00FA7412" w:rsidRDefault="00F36466" w:rsidP="00FA7412">
          <w:pPr>
            <w:pStyle w:val="TOC1"/>
            <w:numPr>
              <w:ilvl w:val="0"/>
              <w:numId w:val="41"/>
            </w:numPr>
            <w:tabs>
              <w:tab w:val="left" w:pos="480"/>
              <w:tab w:val="right" w:leader="dot" w:pos="9350"/>
            </w:tabs>
            <w:rPr>
              <w:rFonts w:asciiTheme="minorHAnsi" w:eastAsiaTheme="minorEastAsia" w:hAnsiTheme="minorHAnsi" w:cstheme="minorBidi"/>
              <w:noProof/>
              <w:sz w:val="22"/>
              <w:szCs w:val="22"/>
            </w:rPr>
          </w:pPr>
          <w:hyperlink w:anchor="_Toc522621290" w:history="1">
            <w:r w:rsidR="00FA7412" w:rsidRPr="00BF114F">
              <w:rPr>
                <w:rStyle w:val="Hyperlink"/>
                <w:noProof/>
              </w:rPr>
              <w:t>Sympathetic Nerve Block.</w:t>
            </w:r>
            <w:r w:rsidR="00FA7412">
              <w:rPr>
                <w:noProof/>
                <w:webHidden/>
              </w:rPr>
              <w:tab/>
            </w:r>
            <w:r w:rsidR="00FA7412">
              <w:rPr>
                <w:noProof/>
                <w:webHidden/>
              </w:rPr>
              <w:fldChar w:fldCharType="begin"/>
            </w:r>
            <w:r w:rsidR="00FA7412">
              <w:rPr>
                <w:noProof/>
                <w:webHidden/>
              </w:rPr>
              <w:instrText xml:space="preserve"> PAGEREF _Toc522621290 \h </w:instrText>
            </w:r>
            <w:r w:rsidR="00FA7412">
              <w:rPr>
                <w:noProof/>
                <w:webHidden/>
              </w:rPr>
            </w:r>
            <w:r w:rsidR="00FA7412">
              <w:rPr>
                <w:noProof/>
                <w:webHidden/>
              </w:rPr>
              <w:fldChar w:fldCharType="separate"/>
            </w:r>
            <w:r w:rsidR="00D572B2">
              <w:rPr>
                <w:noProof/>
                <w:webHidden/>
              </w:rPr>
              <w:t>2</w:t>
            </w:r>
            <w:r w:rsidR="00FA7412">
              <w:rPr>
                <w:noProof/>
                <w:webHidden/>
              </w:rPr>
              <w:fldChar w:fldCharType="end"/>
            </w:r>
          </w:hyperlink>
        </w:p>
        <w:p w14:paraId="54E8A8C2" w14:textId="372C7CA8" w:rsidR="00FA7412" w:rsidRDefault="00F36466" w:rsidP="00FA7412">
          <w:pPr>
            <w:pStyle w:val="TOC3"/>
            <w:numPr>
              <w:ilvl w:val="0"/>
              <w:numId w:val="41"/>
            </w:numPr>
            <w:tabs>
              <w:tab w:val="left" w:pos="1100"/>
              <w:tab w:val="right" w:leader="dot" w:pos="9350"/>
            </w:tabs>
            <w:rPr>
              <w:rFonts w:asciiTheme="minorHAnsi" w:eastAsiaTheme="minorEastAsia" w:hAnsiTheme="minorHAnsi" w:cstheme="minorBidi"/>
              <w:noProof/>
              <w:sz w:val="22"/>
              <w:szCs w:val="22"/>
            </w:rPr>
          </w:pPr>
          <w:hyperlink w:anchor="_Toc522621291" w:history="1">
            <w:r w:rsidR="00FA7412" w:rsidRPr="00BF114F">
              <w:rPr>
                <w:rStyle w:val="Hyperlink"/>
                <w:noProof/>
              </w:rPr>
              <w:t>Celiac Plexus Nerve Block/Neurolysis</w:t>
            </w:r>
            <w:r w:rsidR="00FA7412">
              <w:rPr>
                <w:noProof/>
                <w:webHidden/>
              </w:rPr>
              <w:tab/>
            </w:r>
            <w:r w:rsidR="00FA7412">
              <w:rPr>
                <w:noProof/>
                <w:webHidden/>
              </w:rPr>
              <w:fldChar w:fldCharType="begin"/>
            </w:r>
            <w:r w:rsidR="00FA7412">
              <w:rPr>
                <w:noProof/>
                <w:webHidden/>
              </w:rPr>
              <w:instrText xml:space="preserve"> PAGEREF _Toc522621291 \h </w:instrText>
            </w:r>
            <w:r w:rsidR="00FA7412">
              <w:rPr>
                <w:noProof/>
                <w:webHidden/>
              </w:rPr>
            </w:r>
            <w:r w:rsidR="00FA7412">
              <w:rPr>
                <w:noProof/>
                <w:webHidden/>
              </w:rPr>
              <w:fldChar w:fldCharType="separate"/>
            </w:r>
            <w:r w:rsidR="00D572B2">
              <w:rPr>
                <w:noProof/>
                <w:webHidden/>
              </w:rPr>
              <w:t>3</w:t>
            </w:r>
            <w:r w:rsidR="00FA7412">
              <w:rPr>
                <w:noProof/>
                <w:webHidden/>
              </w:rPr>
              <w:fldChar w:fldCharType="end"/>
            </w:r>
          </w:hyperlink>
        </w:p>
        <w:p w14:paraId="7C9F07B8" w14:textId="4A33887E" w:rsidR="00FA7412" w:rsidRDefault="00F36466" w:rsidP="00FA7412">
          <w:pPr>
            <w:pStyle w:val="TOC1"/>
            <w:numPr>
              <w:ilvl w:val="0"/>
              <w:numId w:val="41"/>
            </w:numPr>
            <w:tabs>
              <w:tab w:val="left" w:pos="660"/>
              <w:tab w:val="right" w:leader="dot" w:pos="9350"/>
            </w:tabs>
            <w:rPr>
              <w:rFonts w:asciiTheme="minorHAnsi" w:eastAsiaTheme="minorEastAsia" w:hAnsiTheme="minorHAnsi" w:cstheme="minorBidi"/>
              <w:noProof/>
              <w:sz w:val="22"/>
              <w:szCs w:val="22"/>
            </w:rPr>
          </w:pPr>
          <w:hyperlink w:anchor="_Toc522621292" w:history="1">
            <w:r w:rsidR="00FA7412" w:rsidRPr="00BF114F">
              <w:rPr>
                <w:rStyle w:val="Hyperlink"/>
                <w:noProof/>
              </w:rPr>
              <w:t>Intercostal Nerve Block/Neurolysis</w:t>
            </w:r>
            <w:r w:rsidR="00FA7412">
              <w:rPr>
                <w:noProof/>
                <w:webHidden/>
              </w:rPr>
              <w:tab/>
            </w:r>
            <w:r w:rsidR="00FA7412">
              <w:rPr>
                <w:noProof/>
                <w:webHidden/>
              </w:rPr>
              <w:fldChar w:fldCharType="begin"/>
            </w:r>
            <w:r w:rsidR="00FA7412">
              <w:rPr>
                <w:noProof/>
                <w:webHidden/>
              </w:rPr>
              <w:instrText xml:space="preserve"> PAGEREF _Toc522621292 \h </w:instrText>
            </w:r>
            <w:r w:rsidR="00FA7412">
              <w:rPr>
                <w:noProof/>
                <w:webHidden/>
              </w:rPr>
            </w:r>
            <w:r w:rsidR="00FA7412">
              <w:rPr>
                <w:noProof/>
                <w:webHidden/>
              </w:rPr>
              <w:fldChar w:fldCharType="separate"/>
            </w:r>
            <w:r w:rsidR="00D572B2">
              <w:rPr>
                <w:noProof/>
                <w:webHidden/>
              </w:rPr>
              <w:t>3</w:t>
            </w:r>
            <w:r w:rsidR="00FA7412">
              <w:rPr>
                <w:noProof/>
                <w:webHidden/>
              </w:rPr>
              <w:fldChar w:fldCharType="end"/>
            </w:r>
          </w:hyperlink>
        </w:p>
        <w:p w14:paraId="7BF81799" w14:textId="741F6F1D" w:rsidR="00FA7412" w:rsidRDefault="00F36466" w:rsidP="00FA7412">
          <w:pPr>
            <w:pStyle w:val="TOC1"/>
            <w:numPr>
              <w:ilvl w:val="0"/>
              <w:numId w:val="41"/>
            </w:numPr>
            <w:tabs>
              <w:tab w:val="left" w:pos="480"/>
              <w:tab w:val="right" w:leader="dot" w:pos="9350"/>
            </w:tabs>
            <w:rPr>
              <w:rFonts w:asciiTheme="minorHAnsi" w:eastAsiaTheme="minorEastAsia" w:hAnsiTheme="minorHAnsi" w:cstheme="minorBidi"/>
              <w:noProof/>
              <w:sz w:val="22"/>
              <w:szCs w:val="22"/>
            </w:rPr>
          </w:pPr>
          <w:hyperlink w:anchor="_Toc522621293" w:history="1">
            <w:r w:rsidR="00FA7412" w:rsidRPr="00BF114F">
              <w:rPr>
                <w:rStyle w:val="Hyperlink"/>
                <w:noProof/>
              </w:rPr>
              <w:t>Genicular Nerve Blocks and Genicular Nerve Radiofrequency Neurotomy</w:t>
            </w:r>
            <w:r w:rsidR="00FA7412">
              <w:rPr>
                <w:noProof/>
                <w:webHidden/>
              </w:rPr>
              <w:tab/>
            </w:r>
            <w:r w:rsidR="00FA7412">
              <w:rPr>
                <w:noProof/>
                <w:webHidden/>
              </w:rPr>
              <w:fldChar w:fldCharType="begin"/>
            </w:r>
            <w:r w:rsidR="00FA7412">
              <w:rPr>
                <w:noProof/>
                <w:webHidden/>
              </w:rPr>
              <w:instrText xml:space="preserve"> PAGEREF _Toc522621293 \h </w:instrText>
            </w:r>
            <w:r w:rsidR="00FA7412">
              <w:rPr>
                <w:noProof/>
                <w:webHidden/>
              </w:rPr>
            </w:r>
            <w:r w:rsidR="00FA7412">
              <w:rPr>
                <w:noProof/>
                <w:webHidden/>
              </w:rPr>
              <w:fldChar w:fldCharType="separate"/>
            </w:r>
            <w:r w:rsidR="00D572B2">
              <w:rPr>
                <w:noProof/>
                <w:webHidden/>
              </w:rPr>
              <w:t>3</w:t>
            </w:r>
            <w:r w:rsidR="00FA7412">
              <w:rPr>
                <w:noProof/>
                <w:webHidden/>
              </w:rPr>
              <w:fldChar w:fldCharType="end"/>
            </w:r>
          </w:hyperlink>
        </w:p>
        <w:p w14:paraId="77AE4F3A" w14:textId="35AE88D7" w:rsidR="00FA7412" w:rsidRDefault="00F36466" w:rsidP="00FA7412">
          <w:pPr>
            <w:pStyle w:val="TOC1"/>
            <w:numPr>
              <w:ilvl w:val="0"/>
              <w:numId w:val="41"/>
            </w:numPr>
            <w:tabs>
              <w:tab w:val="left" w:pos="660"/>
              <w:tab w:val="right" w:leader="dot" w:pos="9350"/>
            </w:tabs>
            <w:rPr>
              <w:rFonts w:asciiTheme="minorHAnsi" w:eastAsiaTheme="minorEastAsia" w:hAnsiTheme="minorHAnsi" w:cstheme="minorBidi"/>
              <w:noProof/>
              <w:sz w:val="22"/>
              <w:szCs w:val="22"/>
            </w:rPr>
          </w:pPr>
          <w:hyperlink w:anchor="_Toc522621294" w:history="1">
            <w:r w:rsidR="00FA7412" w:rsidRPr="00BF114F">
              <w:rPr>
                <w:rStyle w:val="Hyperlink"/>
                <w:noProof/>
              </w:rPr>
              <w:t>Peripheral/Ganglion Nerve Blocks for the Treatment of Chronic Nonmalignant Pain</w:t>
            </w:r>
            <w:r w:rsidR="00FA7412">
              <w:rPr>
                <w:noProof/>
                <w:webHidden/>
              </w:rPr>
              <w:tab/>
            </w:r>
            <w:r w:rsidR="00FA7412">
              <w:rPr>
                <w:noProof/>
                <w:webHidden/>
              </w:rPr>
              <w:fldChar w:fldCharType="begin"/>
            </w:r>
            <w:r w:rsidR="00FA7412">
              <w:rPr>
                <w:noProof/>
                <w:webHidden/>
              </w:rPr>
              <w:instrText xml:space="preserve"> PAGEREF _Toc522621294 \h </w:instrText>
            </w:r>
            <w:r w:rsidR="00FA7412">
              <w:rPr>
                <w:noProof/>
                <w:webHidden/>
              </w:rPr>
            </w:r>
            <w:r w:rsidR="00FA7412">
              <w:rPr>
                <w:noProof/>
                <w:webHidden/>
              </w:rPr>
              <w:fldChar w:fldCharType="separate"/>
            </w:r>
            <w:r w:rsidR="00D572B2">
              <w:rPr>
                <w:noProof/>
                <w:webHidden/>
              </w:rPr>
              <w:t>3</w:t>
            </w:r>
            <w:r w:rsidR="00FA7412">
              <w:rPr>
                <w:noProof/>
                <w:webHidden/>
              </w:rPr>
              <w:fldChar w:fldCharType="end"/>
            </w:r>
          </w:hyperlink>
        </w:p>
        <w:p w14:paraId="1323DF44" w14:textId="7554BDD6" w:rsidR="00380FC1" w:rsidRDefault="00380FC1" w:rsidP="00F07282">
          <w:r w:rsidRPr="00380FC1">
            <w:rPr>
              <w:b/>
              <w:bCs/>
              <w:noProof/>
            </w:rPr>
            <w:fldChar w:fldCharType="end"/>
          </w:r>
        </w:p>
      </w:sdtContent>
    </w:sdt>
    <w:p w14:paraId="5E3C0408" w14:textId="77777777" w:rsidR="00436865" w:rsidRPr="00402A92" w:rsidRDefault="00436865" w:rsidP="00436865">
      <w:pPr>
        <w:pStyle w:val="Heading1"/>
        <w:keepNext w:val="0"/>
        <w:numPr>
          <w:ilvl w:val="0"/>
          <w:numId w:val="29"/>
        </w:numPr>
        <w:ind w:left="360" w:hanging="360"/>
        <w:rPr>
          <w:sz w:val="24"/>
        </w:rPr>
      </w:pPr>
      <w:bookmarkStart w:id="6" w:name="_Toc510775430"/>
      <w:bookmarkStart w:id="7" w:name="_Toc522621289"/>
      <w:r>
        <w:rPr>
          <w:sz w:val="24"/>
        </w:rPr>
        <w:t>Occipital Nerve Block</w:t>
      </w:r>
      <w:bookmarkEnd w:id="6"/>
      <w:bookmarkEnd w:id="7"/>
    </w:p>
    <w:p w14:paraId="3F737FFF" w14:textId="568DAF85" w:rsidR="00436865" w:rsidRPr="005B39B0" w:rsidRDefault="004E7CF7" w:rsidP="00436865">
      <w:pPr>
        <w:pStyle w:val="ListParagraph"/>
        <w:numPr>
          <w:ilvl w:val="0"/>
          <w:numId w:val="23"/>
        </w:numPr>
        <w:ind w:left="720"/>
        <w:rPr>
          <w:iCs/>
        </w:rPr>
      </w:pPr>
      <w:r w:rsidRPr="002B0255">
        <w:rPr>
          <w:i/>
          <w:iCs/>
        </w:rPr>
        <w:t>An initial injection</w:t>
      </w:r>
      <w:r w:rsidR="00436865" w:rsidRPr="002B0255">
        <w:rPr>
          <w:i/>
          <w:iCs/>
        </w:rPr>
        <w:t xml:space="preserve"> </w:t>
      </w:r>
      <w:r w:rsidR="00436865" w:rsidRPr="00826D4F">
        <w:rPr>
          <w:iCs/>
        </w:rPr>
        <w:t xml:space="preserve">of </w:t>
      </w:r>
      <w:r w:rsidR="00436865">
        <w:rPr>
          <w:iCs/>
        </w:rPr>
        <w:t xml:space="preserve">a </w:t>
      </w:r>
      <w:r w:rsidR="00436865" w:rsidRPr="00826D4F">
        <w:rPr>
          <w:iCs/>
        </w:rPr>
        <w:t xml:space="preserve">local anesthetic </w:t>
      </w:r>
      <w:r w:rsidR="00436865">
        <w:rPr>
          <w:iCs/>
        </w:rPr>
        <w:t xml:space="preserve">for the diagnosis of suspected </w:t>
      </w:r>
      <w:r w:rsidR="00436865" w:rsidRPr="00C4177F">
        <w:rPr>
          <w:iCs/>
        </w:rPr>
        <w:t>occipital neuralgia</w:t>
      </w:r>
      <w:r w:rsidR="00436865" w:rsidRPr="005B39B0">
        <w:rPr>
          <w:iCs/>
        </w:rPr>
        <w:t xml:space="preserve"> is </w:t>
      </w:r>
      <w:r w:rsidR="00436865" w:rsidRPr="005B39B0">
        <w:rPr>
          <w:b/>
          <w:iCs/>
        </w:rPr>
        <w:t>medically necessary</w:t>
      </w:r>
      <w:r w:rsidR="00436865" w:rsidRPr="005B39B0">
        <w:rPr>
          <w:iCs/>
        </w:rPr>
        <w:t xml:space="preserve"> when all of the following are met:</w:t>
      </w:r>
    </w:p>
    <w:p w14:paraId="4D02325A" w14:textId="77777777" w:rsidR="00436865" w:rsidRPr="00A71A2E" w:rsidRDefault="00436865" w:rsidP="00436865">
      <w:pPr>
        <w:pStyle w:val="ListParagraph"/>
        <w:numPr>
          <w:ilvl w:val="0"/>
          <w:numId w:val="24"/>
        </w:numPr>
        <w:ind w:left="1080"/>
        <w:rPr>
          <w:iCs/>
        </w:rPr>
      </w:pPr>
      <w:r w:rsidRPr="00A71A2E">
        <w:rPr>
          <w:iCs/>
        </w:rPr>
        <w:t>Patient has unilateral or bilateral pain located in the distribution of the greater, lesser and/or third occipital nerves;</w:t>
      </w:r>
    </w:p>
    <w:p w14:paraId="685282EE" w14:textId="77777777" w:rsidR="00436865" w:rsidRPr="00A71A2E" w:rsidRDefault="00436865" w:rsidP="00436865">
      <w:pPr>
        <w:pStyle w:val="ListParagraph"/>
        <w:numPr>
          <w:ilvl w:val="0"/>
          <w:numId w:val="24"/>
        </w:numPr>
        <w:ind w:left="1080"/>
        <w:rPr>
          <w:iCs/>
        </w:rPr>
      </w:pPr>
      <w:r w:rsidRPr="00A71A2E">
        <w:rPr>
          <w:iCs/>
        </w:rPr>
        <w:t>Pain has two of the following three characteristics:</w:t>
      </w:r>
    </w:p>
    <w:p w14:paraId="4075D54E" w14:textId="77777777" w:rsidR="00436865" w:rsidRPr="001677B0" w:rsidRDefault="00436865" w:rsidP="00436865">
      <w:pPr>
        <w:pStyle w:val="ListParagraph"/>
        <w:numPr>
          <w:ilvl w:val="1"/>
          <w:numId w:val="25"/>
        </w:numPr>
        <w:rPr>
          <w:iCs/>
        </w:rPr>
      </w:pPr>
      <w:r w:rsidRPr="001677B0">
        <w:rPr>
          <w:iCs/>
        </w:rPr>
        <w:t>Recurring in paroxysmal attacks lasting from a few seconds to minutes</w:t>
      </w:r>
      <w:r>
        <w:rPr>
          <w:iCs/>
        </w:rPr>
        <w:t>;</w:t>
      </w:r>
    </w:p>
    <w:p w14:paraId="0384D9F2" w14:textId="77777777" w:rsidR="00436865" w:rsidRPr="001677B0" w:rsidRDefault="00436865" w:rsidP="00436865">
      <w:pPr>
        <w:pStyle w:val="ListParagraph"/>
        <w:numPr>
          <w:ilvl w:val="1"/>
          <w:numId w:val="25"/>
        </w:numPr>
        <w:rPr>
          <w:iCs/>
        </w:rPr>
      </w:pPr>
      <w:r w:rsidRPr="001677B0">
        <w:rPr>
          <w:iCs/>
        </w:rPr>
        <w:t>Severe intensity</w:t>
      </w:r>
      <w:r>
        <w:rPr>
          <w:iCs/>
        </w:rPr>
        <w:t>;</w:t>
      </w:r>
    </w:p>
    <w:p w14:paraId="1AA9CCC4" w14:textId="77777777" w:rsidR="00436865" w:rsidRPr="001677B0" w:rsidRDefault="00436865" w:rsidP="00436865">
      <w:pPr>
        <w:pStyle w:val="ListParagraph"/>
        <w:numPr>
          <w:ilvl w:val="1"/>
          <w:numId w:val="25"/>
        </w:numPr>
        <w:tabs>
          <w:tab w:val="left" w:pos="1980"/>
        </w:tabs>
        <w:rPr>
          <w:iCs/>
        </w:rPr>
      </w:pPr>
      <w:r w:rsidRPr="001677B0">
        <w:rPr>
          <w:iCs/>
        </w:rPr>
        <w:t>Shooting, stabbing, or sharp in quality</w:t>
      </w:r>
      <w:r>
        <w:rPr>
          <w:iCs/>
        </w:rPr>
        <w:t>;</w:t>
      </w:r>
    </w:p>
    <w:p w14:paraId="7F21495A" w14:textId="77777777" w:rsidR="00436865" w:rsidRPr="00A71A2E" w:rsidRDefault="00436865" w:rsidP="00436865">
      <w:pPr>
        <w:pStyle w:val="ListParagraph"/>
        <w:numPr>
          <w:ilvl w:val="0"/>
          <w:numId w:val="24"/>
        </w:numPr>
        <w:ind w:left="1080"/>
        <w:rPr>
          <w:iCs/>
        </w:rPr>
      </w:pPr>
      <w:r w:rsidRPr="00A71A2E">
        <w:rPr>
          <w:iCs/>
        </w:rPr>
        <w:t>Pain is associated with both of the following:</w:t>
      </w:r>
    </w:p>
    <w:p w14:paraId="3B07ECD8" w14:textId="1493632D" w:rsidR="00436865" w:rsidRPr="00A71A2E" w:rsidRDefault="003625E6" w:rsidP="00436865">
      <w:pPr>
        <w:pStyle w:val="ListParagraph"/>
        <w:numPr>
          <w:ilvl w:val="0"/>
          <w:numId w:val="26"/>
        </w:numPr>
        <w:rPr>
          <w:iCs/>
        </w:rPr>
      </w:pPr>
      <w:r>
        <w:t>D</w:t>
      </w:r>
      <w:r w:rsidRPr="001E4305">
        <w:t>ysaesthesia</w:t>
      </w:r>
      <w:r w:rsidR="00436865" w:rsidRPr="00A71A2E">
        <w:rPr>
          <w:iCs/>
        </w:rPr>
        <w:t xml:space="preserve"> and/or allodynia apparent during innocuous stimulation of the scalp and/or hair</w:t>
      </w:r>
      <w:r w:rsidR="00436865">
        <w:rPr>
          <w:iCs/>
        </w:rPr>
        <w:t>;</w:t>
      </w:r>
    </w:p>
    <w:p w14:paraId="3A15EAB8" w14:textId="77777777" w:rsidR="00436865" w:rsidRDefault="00436865" w:rsidP="00436865">
      <w:pPr>
        <w:pStyle w:val="ListParagraph"/>
        <w:numPr>
          <w:ilvl w:val="0"/>
          <w:numId w:val="26"/>
        </w:numPr>
        <w:rPr>
          <w:iCs/>
        </w:rPr>
      </w:pPr>
      <w:r w:rsidRPr="00A71A2E">
        <w:rPr>
          <w:iCs/>
        </w:rPr>
        <w:t>Tenderness over the affected nerve branches</w:t>
      </w:r>
      <w:r>
        <w:rPr>
          <w:iCs/>
        </w:rPr>
        <w:t>.</w:t>
      </w:r>
    </w:p>
    <w:p w14:paraId="75DA5CEC" w14:textId="77777777" w:rsidR="00436865" w:rsidRPr="00A71A2E" w:rsidRDefault="00436865" w:rsidP="00436865">
      <w:pPr>
        <w:pStyle w:val="ListParagraph"/>
        <w:ind w:left="1440"/>
        <w:rPr>
          <w:iCs/>
        </w:rPr>
      </w:pPr>
    </w:p>
    <w:p w14:paraId="552BBFE5" w14:textId="54DF72CD" w:rsidR="00436865" w:rsidRPr="00802A58" w:rsidRDefault="00436865" w:rsidP="00436865">
      <w:pPr>
        <w:pStyle w:val="ListParagraph"/>
        <w:numPr>
          <w:ilvl w:val="0"/>
          <w:numId w:val="23"/>
        </w:numPr>
        <w:ind w:left="720"/>
        <w:rPr>
          <w:iCs/>
        </w:rPr>
      </w:pPr>
      <w:r w:rsidRPr="00C4177F">
        <w:rPr>
          <w:i/>
          <w:iCs/>
        </w:rPr>
        <w:t>Therapeutic</w:t>
      </w:r>
      <w:r>
        <w:rPr>
          <w:iCs/>
        </w:rPr>
        <w:t xml:space="preserve"> </w:t>
      </w:r>
      <w:r w:rsidRPr="00C4177F">
        <w:rPr>
          <w:i/>
          <w:iCs/>
        </w:rPr>
        <w:t>occipital nerve blocks</w:t>
      </w:r>
      <w:r>
        <w:rPr>
          <w:iCs/>
        </w:rPr>
        <w:t xml:space="preserve"> are </w:t>
      </w:r>
      <w:r w:rsidRPr="0060609A">
        <w:rPr>
          <w:b/>
          <w:iCs/>
        </w:rPr>
        <w:t>medically</w:t>
      </w:r>
      <w:r>
        <w:rPr>
          <w:b/>
          <w:iCs/>
        </w:rPr>
        <w:t xml:space="preserve"> necessary</w:t>
      </w:r>
      <w:r w:rsidRPr="0060609A">
        <w:rPr>
          <w:b/>
          <w:iCs/>
        </w:rPr>
        <w:t xml:space="preserve"> </w:t>
      </w:r>
      <w:r>
        <w:rPr>
          <w:iCs/>
        </w:rPr>
        <w:t>when</w:t>
      </w:r>
      <w:r w:rsidRPr="00802A58">
        <w:rPr>
          <w:iCs/>
        </w:rPr>
        <w:t xml:space="preserve"> </w:t>
      </w:r>
      <w:r>
        <w:rPr>
          <w:iCs/>
        </w:rPr>
        <w:t xml:space="preserve">all </w:t>
      </w:r>
      <w:r w:rsidRPr="00802A58">
        <w:rPr>
          <w:iCs/>
        </w:rPr>
        <w:t xml:space="preserve">of the following </w:t>
      </w:r>
      <w:r>
        <w:rPr>
          <w:iCs/>
        </w:rPr>
        <w:t>are</w:t>
      </w:r>
      <w:r w:rsidRPr="00802A58">
        <w:rPr>
          <w:iCs/>
        </w:rPr>
        <w:t xml:space="preserve"> met:</w:t>
      </w:r>
    </w:p>
    <w:p w14:paraId="0A6D9F44" w14:textId="1BA909ED" w:rsidR="00436865" w:rsidRDefault="00436865" w:rsidP="00436865">
      <w:pPr>
        <w:pStyle w:val="ListParagraph"/>
        <w:numPr>
          <w:ilvl w:val="0"/>
          <w:numId w:val="28"/>
        </w:numPr>
        <w:ind w:left="1080"/>
        <w:rPr>
          <w:iCs/>
        </w:rPr>
      </w:pPr>
      <w:r w:rsidRPr="00802A58">
        <w:rPr>
          <w:iCs/>
        </w:rPr>
        <w:t xml:space="preserve">There </w:t>
      </w:r>
      <w:r>
        <w:rPr>
          <w:iCs/>
        </w:rPr>
        <w:t xml:space="preserve">was temporary relief from the </w:t>
      </w:r>
      <w:r w:rsidR="00135837">
        <w:rPr>
          <w:iCs/>
        </w:rPr>
        <w:t>initial/previous</w:t>
      </w:r>
      <w:r w:rsidR="00135837" w:rsidRPr="00802A58">
        <w:rPr>
          <w:iCs/>
        </w:rPr>
        <w:t xml:space="preserve"> </w:t>
      </w:r>
      <w:r w:rsidRPr="00802A58">
        <w:rPr>
          <w:iCs/>
        </w:rPr>
        <w:t>injection;</w:t>
      </w:r>
    </w:p>
    <w:p w14:paraId="2A83BCD6" w14:textId="77777777" w:rsidR="00436865" w:rsidRPr="00A71A2E" w:rsidRDefault="00436865" w:rsidP="00436865">
      <w:pPr>
        <w:pStyle w:val="ListParagraph"/>
        <w:numPr>
          <w:ilvl w:val="0"/>
          <w:numId w:val="28"/>
        </w:numPr>
        <w:ind w:left="1080"/>
        <w:rPr>
          <w:iCs/>
        </w:rPr>
      </w:pPr>
      <w:r>
        <w:rPr>
          <w:iCs/>
        </w:rPr>
        <w:lastRenderedPageBreak/>
        <w:t xml:space="preserve">The member </w:t>
      </w:r>
      <w:r w:rsidRPr="00A71A2E">
        <w:rPr>
          <w:iCs/>
        </w:rPr>
        <w:t xml:space="preserve">has failed </w:t>
      </w:r>
      <w:r>
        <w:rPr>
          <w:iCs/>
        </w:rPr>
        <w:t xml:space="preserve">3 months of </w:t>
      </w:r>
      <w:r w:rsidRPr="00A71A2E">
        <w:rPr>
          <w:iCs/>
        </w:rPr>
        <w:t>conservative treatment including all of the following:</w:t>
      </w:r>
    </w:p>
    <w:p w14:paraId="1AF01C03" w14:textId="77777777" w:rsidR="00436865" w:rsidRPr="00A71A2E" w:rsidRDefault="00436865" w:rsidP="00436865">
      <w:pPr>
        <w:pStyle w:val="ListParagraph"/>
        <w:numPr>
          <w:ilvl w:val="0"/>
          <w:numId w:val="27"/>
        </w:numPr>
        <w:rPr>
          <w:iCs/>
        </w:rPr>
      </w:pPr>
      <w:r w:rsidRPr="00A71A2E">
        <w:rPr>
          <w:iCs/>
        </w:rPr>
        <w:t>Heat, rest and/or physical therapy, including massage;</w:t>
      </w:r>
    </w:p>
    <w:p w14:paraId="086F5065" w14:textId="7AD9BFAD" w:rsidR="00436865" w:rsidRPr="00A71A2E" w:rsidRDefault="00436865" w:rsidP="00436865">
      <w:pPr>
        <w:pStyle w:val="ListParagraph"/>
        <w:numPr>
          <w:ilvl w:val="0"/>
          <w:numId w:val="27"/>
        </w:numPr>
        <w:rPr>
          <w:iCs/>
        </w:rPr>
      </w:pPr>
      <w:r w:rsidRPr="00A71A2E">
        <w:rPr>
          <w:iCs/>
        </w:rPr>
        <w:t>NSAID</w:t>
      </w:r>
      <w:r w:rsidR="00474A2E">
        <w:rPr>
          <w:iCs/>
        </w:rPr>
        <w:t>S</w:t>
      </w:r>
      <w:r>
        <w:rPr>
          <w:iCs/>
        </w:rPr>
        <w:t>,</w:t>
      </w:r>
      <w:r w:rsidRPr="00A71A2E">
        <w:rPr>
          <w:iCs/>
        </w:rPr>
        <w:t xml:space="preserve"> unless contraindicated or not tolerated;</w:t>
      </w:r>
    </w:p>
    <w:p w14:paraId="316BFA19" w14:textId="77777777" w:rsidR="00436865" w:rsidRDefault="00436865" w:rsidP="00436865">
      <w:pPr>
        <w:pStyle w:val="ListParagraph"/>
        <w:numPr>
          <w:ilvl w:val="0"/>
          <w:numId w:val="27"/>
        </w:numPr>
        <w:rPr>
          <w:iCs/>
        </w:rPr>
      </w:pPr>
      <w:r w:rsidRPr="005B39B0">
        <w:rPr>
          <w:iCs/>
        </w:rPr>
        <w:t xml:space="preserve">Oral anticonvulsant medications (e.g., carbamazepine, gabapentin, pregabalin) or tricyclic antidepressants; </w:t>
      </w:r>
    </w:p>
    <w:p w14:paraId="16666EE5" w14:textId="77777777" w:rsidR="00436865" w:rsidRPr="005B39B0" w:rsidRDefault="00436865" w:rsidP="00436865">
      <w:pPr>
        <w:pStyle w:val="ListParagraph"/>
        <w:numPr>
          <w:ilvl w:val="0"/>
          <w:numId w:val="27"/>
        </w:numPr>
        <w:rPr>
          <w:iCs/>
        </w:rPr>
      </w:pPr>
      <w:r w:rsidRPr="005B39B0">
        <w:rPr>
          <w:iCs/>
        </w:rPr>
        <w:t>Activity modification to address triggers</w:t>
      </w:r>
    </w:p>
    <w:p w14:paraId="72B90A8D" w14:textId="77777777" w:rsidR="00436865" w:rsidRDefault="00436865" w:rsidP="00436865">
      <w:pPr>
        <w:pStyle w:val="ListParagraph"/>
        <w:numPr>
          <w:ilvl w:val="0"/>
          <w:numId w:val="28"/>
        </w:numPr>
        <w:ind w:left="1080"/>
        <w:rPr>
          <w:iCs/>
        </w:rPr>
      </w:pPr>
      <w:r>
        <w:rPr>
          <w:iCs/>
        </w:rPr>
        <w:t xml:space="preserve">No more than </w:t>
      </w:r>
      <w:r w:rsidRPr="00802A58">
        <w:rPr>
          <w:iCs/>
        </w:rPr>
        <w:t xml:space="preserve">4 injections </w:t>
      </w:r>
      <w:r>
        <w:rPr>
          <w:iCs/>
        </w:rPr>
        <w:t>are to</w:t>
      </w:r>
      <w:r w:rsidRPr="00802A58">
        <w:rPr>
          <w:iCs/>
        </w:rPr>
        <w:t xml:space="preserve"> be given within 12 months</w:t>
      </w:r>
      <w:r>
        <w:rPr>
          <w:iCs/>
        </w:rPr>
        <w:t xml:space="preserve"> (includes diagnostic injection)</w:t>
      </w:r>
      <w:r w:rsidRPr="00802A58">
        <w:rPr>
          <w:iCs/>
        </w:rPr>
        <w:t>.</w:t>
      </w:r>
    </w:p>
    <w:p w14:paraId="3FD6A860" w14:textId="77777777" w:rsidR="00436865" w:rsidRPr="00802A58" w:rsidRDefault="00436865" w:rsidP="00436865">
      <w:pPr>
        <w:pStyle w:val="ListParagraph"/>
        <w:ind w:left="1080"/>
        <w:rPr>
          <w:iCs/>
        </w:rPr>
      </w:pPr>
    </w:p>
    <w:p w14:paraId="29064D1C" w14:textId="4D06D9FB" w:rsidR="00436865" w:rsidRPr="00E22EC3" w:rsidRDefault="00436865" w:rsidP="00436865">
      <w:pPr>
        <w:pStyle w:val="ListParagraph"/>
        <w:numPr>
          <w:ilvl w:val="0"/>
          <w:numId w:val="23"/>
        </w:numPr>
        <w:tabs>
          <w:tab w:val="left" w:pos="1080"/>
        </w:tabs>
        <w:rPr>
          <w:iCs/>
        </w:rPr>
      </w:pPr>
      <w:r w:rsidRPr="00C4177F">
        <w:rPr>
          <w:i/>
          <w:iCs/>
        </w:rPr>
        <w:t>Occipital nerve block</w:t>
      </w:r>
      <w:r>
        <w:rPr>
          <w:iCs/>
        </w:rPr>
        <w:t xml:space="preserve"> for the diagnosis or treatment of other types of </w:t>
      </w:r>
      <w:r w:rsidRPr="00E22EC3">
        <w:rPr>
          <w:iCs/>
        </w:rPr>
        <w:t>headaches</w:t>
      </w:r>
      <w:r>
        <w:rPr>
          <w:iCs/>
        </w:rPr>
        <w:t xml:space="preserve">, </w:t>
      </w:r>
      <w:r w:rsidRPr="00E22EC3">
        <w:rPr>
          <w:iCs/>
        </w:rPr>
        <w:t>including migraine and cervicogenic headaches</w:t>
      </w:r>
      <w:r>
        <w:rPr>
          <w:iCs/>
        </w:rPr>
        <w:t xml:space="preserve">, </w:t>
      </w:r>
      <w:r w:rsidR="00135837">
        <w:rPr>
          <w:iCs/>
        </w:rPr>
        <w:t>is</w:t>
      </w:r>
      <w:r>
        <w:rPr>
          <w:iCs/>
        </w:rPr>
        <w:t xml:space="preserve"> considered </w:t>
      </w:r>
      <w:r w:rsidRPr="00E22EC3">
        <w:rPr>
          <w:b/>
          <w:iCs/>
        </w:rPr>
        <w:t>not medically necessary</w:t>
      </w:r>
      <w:r>
        <w:rPr>
          <w:iCs/>
        </w:rPr>
        <w:t>.</w:t>
      </w:r>
    </w:p>
    <w:p w14:paraId="71C8E3AA" w14:textId="77777777" w:rsidR="00436865" w:rsidRDefault="00436865" w:rsidP="00436865">
      <w:pPr>
        <w:ind w:left="360"/>
      </w:pPr>
    </w:p>
    <w:p w14:paraId="3133A1F6" w14:textId="047BE80F" w:rsidR="003167BF" w:rsidRPr="00A74981" w:rsidRDefault="003167BF" w:rsidP="006428DF">
      <w:pPr>
        <w:pStyle w:val="Heading1"/>
        <w:keepNext w:val="0"/>
        <w:numPr>
          <w:ilvl w:val="0"/>
          <w:numId w:val="22"/>
        </w:numPr>
        <w:rPr>
          <w:rFonts w:eastAsia="Times New Roman"/>
          <w:b w:val="0"/>
          <w:bCs w:val="0"/>
          <w:sz w:val="24"/>
          <w:szCs w:val="24"/>
        </w:rPr>
      </w:pPr>
      <w:bookmarkStart w:id="8" w:name="_Toc510775433"/>
      <w:bookmarkStart w:id="9" w:name="_Toc522621290"/>
      <w:r w:rsidRPr="002B0255">
        <w:rPr>
          <w:rFonts w:eastAsia="Times New Roman"/>
          <w:bCs w:val="0"/>
          <w:sz w:val="24"/>
          <w:szCs w:val="24"/>
        </w:rPr>
        <w:t>Sympathetic Nerve Blocks</w:t>
      </w:r>
      <w:bookmarkEnd w:id="8"/>
      <w:r w:rsidRPr="002B0255">
        <w:rPr>
          <w:rFonts w:eastAsia="Times New Roman"/>
          <w:bCs w:val="0"/>
          <w:sz w:val="24"/>
          <w:szCs w:val="24"/>
        </w:rPr>
        <w:t xml:space="preserve"> </w:t>
      </w:r>
      <w:r w:rsidRPr="00A74981">
        <w:rPr>
          <w:rFonts w:eastAsia="Times New Roman"/>
          <w:b w:val="0"/>
          <w:bCs w:val="0"/>
          <w:sz w:val="24"/>
          <w:szCs w:val="24"/>
        </w:rPr>
        <w:t xml:space="preserve">have </w:t>
      </w:r>
      <w:r w:rsidRPr="00135837">
        <w:rPr>
          <w:rFonts w:eastAsia="Times New Roman"/>
          <w:bCs w:val="0"/>
          <w:sz w:val="24"/>
          <w:szCs w:val="24"/>
        </w:rPr>
        <w:t>limited evidence</w:t>
      </w:r>
      <w:r w:rsidRPr="00A74981">
        <w:rPr>
          <w:rFonts w:eastAsia="Times New Roman"/>
          <w:b w:val="0"/>
          <w:bCs w:val="0"/>
          <w:sz w:val="24"/>
          <w:szCs w:val="24"/>
        </w:rPr>
        <w:t xml:space="preserve"> to prove effectiveness of treatment and consideration will be made on a case by case basis. The criteria below provide</w:t>
      </w:r>
      <w:r w:rsidR="00D93C8F">
        <w:rPr>
          <w:rFonts w:eastAsia="Times New Roman"/>
          <w:b w:val="0"/>
          <w:bCs w:val="0"/>
          <w:sz w:val="24"/>
          <w:szCs w:val="24"/>
        </w:rPr>
        <w:t>s</w:t>
      </w:r>
      <w:r w:rsidRPr="00A74981">
        <w:rPr>
          <w:rFonts w:eastAsia="Times New Roman"/>
          <w:b w:val="0"/>
          <w:bCs w:val="0"/>
          <w:sz w:val="24"/>
          <w:szCs w:val="24"/>
        </w:rPr>
        <w:t xml:space="preserve"> a basis for documenting patient-specific clinical information to help guide clinical decision making.</w:t>
      </w:r>
      <w:bookmarkEnd w:id="9"/>
    </w:p>
    <w:p w14:paraId="24D9224D" w14:textId="77777777" w:rsidR="00F75335" w:rsidRDefault="00ED33BD" w:rsidP="006428DF">
      <w:pPr>
        <w:pStyle w:val="ListParagraph"/>
        <w:numPr>
          <w:ilvl w:val="2"/>
          <w:numId w:val="25"/>
        </w:numPr>
        <w:ind w:left="720"/>
      </w:pPr>
      <w:r>
        <w:rPr>
          <w:i/>
        </w:rPr>
        <w:t>First or second</w:t>
      </w:r>
      <w:r w:rsidR="00F75335" w:rsidRPr="00A74981">
        <w:rPr>
          <w:i/>
        </w:rPr>
        <w:t xml:space="preserve"> sympathetic nerve block</w:t>
      </w:r>
      <w:r w:rsidR="00F75335">
        <w:t>:</w:t>
      </w:r>
    </w:p>
    <w:p w14:paraId="3905A5D6" w14:textId="77777777" w:rsidR="003167BF" w:rsidRDefault="003167BF" w:rsidP="003167BF">
      <w:pPr>
        <w:numPr>
          <w:ilvl w:val="0"/>
          <w:numId w:val="33"/>
        </w:numPr>
        <w:ind w:left="1080"/>
      </w:pPr>
      <w:r>
        <w:t>D</w:t>
      </w:r>
      <w:r w:rsidRPr="00FC1A07">
        <w:t xml:space="preserve">iagnosis of </w:t>
      </w:r>
      <w:r w:rsidRPr="00BE5891">
        <w:rPr>
          <w:i/>
        </w:rPr>
        <w:t>complex regional pain syndrome</w:t>
      </w:r>
      <w:r w:rsidRPr="00BE5891">
        <w:t xml:space="preserve"> (CRPS)</w:t>
      </w:r>
      <w:r>
        <w:t xml:space="preserve"> (also called reflex sympathetic dystrophy) and all of the following:</w:t>
      </w:r>
    </w:p>
    <w:p w14:paraId="28B7CF9F" w14:textId="77777777" w:rsidR="003167BF" w:rsidRDefault="003167BF" w:rsidP="00F75335">
      <w:pPr>
        <w:numPr>
          <w:ilvl w:val="0"/>
          <w:numId w:val="34"/>
        </w:numPr>
        <w:ind w:left="1440"/>
      </w:pPr>
      <w:r>
        <w:t>Pain is being managed by a pain management specialist with experience treating CRPS;</w:t>
      </w:r>
    </w:p>
    <w:p w14:paraId="2EA4C82D" w14:textId="77777777" w:rsidR="003167BF" w:rsidRDefault="003167BF" w:rsidP="00F75335">
      <w:pPr>
        <w:numPr>
          <w:ilvl w:val="0"/>
          <w:numId w:val="34"/>
        </w:numPr>
        <w:ind w:left="1440"/>
      </w:pPr>
      <w:r>
        <w:t>The member is in an active rehabilitation regimen;</w:t>
      </w:r>
      <w:r w:rsidRPr="00407E80">
        <w:t xml:space="preserve"> </w:t>
      </w:r>
    </w:p>
    <w:p w14:paraId="02A02FC8" w14:textId="77777777" w:rsidR="003167BF" w:rsidRDefault="003167BF" w:rsidP="00F75335">
      <w:pPr>
        <w:numPr>
          <w:ilvl w:val="0"/>
          <w:numId w:val="34"/>
        </w:numPr>
        <w:ind w:left="1440"/>
      </w:pPr>
      <w:r>
        <w:t xml:space="preserve">Failed </w:t>
      </w:r>
      <w:r w:rsidRPr="00FC1A07">
        <w:t xml:space="preserve">≥ </w:t>
      </w:r>
      <w:r>
        <w:t>3</w:t>
      </w:r>
      <w:r w:rsidRPr="00FC1A07">
        <w:t xml:space="preserve"> weeks of </w:t>
      </w:r>
      <w:r>
        <w:t>c</w:t>
      </w:r>
      <w:r w:rsidRPr="00FC1A07">
        <w:t>onservative therap</w:t>
      </w:r>
      <w:r>
        <w:t>ies</w:t>
      </w:r>
      <w:r w:rsidRPr="00FC1A07">
        <w:t xml:space="preserve"> </w:t>
      </w:r>
      <w:r>
        <w:t>such as</w:t>
      </w:r>
      <w:r w:rsidRPr="00FC1A07">
        <w:t xml:space="preserve"> </w:t>
      </w:r>
      <w:r>
        <w:t xml:space="preserve">activity modification, </w:t>
      </w:r>
      <w:r w:rsidRPr="00FC1A07">
        <w:t>exercises</w:t>
      </w:r>
      <w:r>
        <w:t>, topical capsaicin cream,</w:t>
      </w:r>
      <w:r w:rsidRPr="00FC1A07">
        <w:t xml:space="preserve"> </w:t>
      </w:r>
      <w:r>
        <w:t xml:space="preserve">and </w:t>
      </w:r>
      <w:r w:rsidRPr="00FC1A07">
        <w:t>oral medical management</w:t>
      </w:r>
      <w:r>
        <w:t xml:space="preserve"> such as nonsteroidal anti-inflammatories, antidepressants, anticonvulsants and glucocorticoids</w:t>
      </w:r>
      <w:r w:rsidRPr="00407E80">
        <w:t>;</w:t>
      </w:r>
    </w:p>
    <w:p w14:paraId="5655BF6E" w14:textId="16F86597" w:rsidR="003167BF" w:rsidRPr="00FC1A07" w:rsidRDefault="0077256C" w:rsidP="00F75335">
      <w:pPr>
        <w:numPr>
          <w:ilvl w:val="0"/>
          <w:numId w:val="34"/>
        </w:numPr>
        <w:ind w:left="1440"/>
      </w:pPr>
      <w:r>
        <w:t>Two or more</w:t>
      </w:r>
      <w:r w:rsidR="003167BF" w:rsidRPr="00FC1A07">
        <w:t xml:space="preserve"> of the following findings of the involved digit/extremity:</w:t>
      </w:r>
    </w:p>
    <w:p w14:paraId="329DCC82" w14:textId="3467063C" w:rsidR="003167BF" w:rsidRPr="00FC1A07" w:rsidRDefault="00E419BF" w:rsidP="00F75335">
      <w:pPr>
        <w:numPr>
          <w:ilvl w:val="0"/>
          <w:numId w:val="35"/>
        </w:numPr>
        <w:ind w:left="1800"/>
      </w:pPr>
      <w:r>
        <w:t>Hyperalgesia or a</w:t>
      </w:r>
      <w:r w:rsidR="003167BF" w:rsidRPr="00FC1A07">
        <w:t>llodynia (pain sensation in response to a typically non-painful stimulus)</w:t>
      </w:r>
      <w:r w:rsidR="003167BF">
        <w:t>;</w:t>
      </w:r>
    </w:p>
    <w:p w14:paraId="6ABB7722" w14:textId="5C4AA72A" w:rsidR="003167BF" w:rsidRPr="00FC1A07" w:rsidRDefault="00201E36" w:rsidP="00F75335">
      <w:pPr>
        <w:numPr>
          <w:ilvl w:val="0"/>
          <w:numId w:val="35"/>
        </w:numPr>
        <w:ind w:left="1800"/>
      </w:pPr>
      <w:r>
        <w:t>Evidence of edema and/or sweating changes and/or sweating asymmetry;</w:t>
      </w:r>
    </w:p>
    <w:p w14:paraId="6454195B" w14:textId="77777777" w:rsidR="00201E36" w:rsidRDefault="00201E36" w:rsidP="00F75335">
      <w:pPr>
        <w:numPr>
          <w:ilvl w:val="0"/>
          <w:numId w:val="35"/>
        </w:numPr>
        <w:ind w:left="1800"/>
      </w:pPr>
      <w:r w:rsidRPr="00201E36">
        <w:t>Evidence of temperature asymmetry (&gt;1°C) and/or skin color changes and/or asymmetry</w:t>
      </w:r>
      <w:r>
        <w:t>;</w:t>
      </w:r>
      <w:r w:rsidRPr="00201E36" w:rsidDel="00201E36">
        <w:t xml:space="preserve"> </w:t>
      </w:r>
    </w:p>
    <w:p w14:paraId="095D9978" w14:textId="5516C729" w:rsidR="00201E36" w:rsidRDefault="00201E36" w:rsidP="00F75335">
      <w:pPr>
        <w:numPr>
          <w:ilvl w:val="0"/>
          <w:numId w:val="35"/>
        </w:numPr>
        <w:ind w:left="1800"/>
      </w:pPr>
      <w:r w:rsidRPr="00201E36">
        <w:t>Evidence of decreased range of motion and/or motor dysfunction (weakness, tremor, dystonia) and/or trophic changes (hair, nail, skin)</w:t>
      </w:r>
    </w:p>
    <w:p w14:paraId="05C293E3" w14:textId="2E29522E" w:rsidR="00D861E2" w:rsidRDefault="00D861E2" w:rsidP="00135837">
      <w:pPr>
        <w:rPr>
          <w:highlight w:val="yellow"/>
        </w:rPr>
      </w:pPr>
    </w:p>
    <w:p w14:paraId="1A80D096" w14:textId="2764A50A" w:rsidR="00271677" w:rsidRPr="00135837" w:rsidRDefault="00271677" w:rsidP="00135837">
      <w:pPr>
        <w:pStyle w:val="ListParagraph"/>
        <w:numPr>
          <w:ilvl w:val="2"/>
          <w:numId w:val="25"/>
        </w:numPr>
        <w:ind w:left="720"/>
      </w:pPr>
      <w:r w:rsidRPr="00135837">
        <w:rPr>
          <w:i/>
        </w:rPr>
        <w:t>Additional sympathetic nerve blocks</w:t>
      </w:r>
      <w:r w:rsidR="003A6A2A">
        <w:rPr>
          <w:i/>
        </w:rPr>
        <w:t xml:space="preserve"> for CRPS</w:t>
      </w:r>
      <w:r w:rsidRPr="00135837">
        <w:t xml:space="preserve"> </w:t>
      </w:r>
      <w:r w:rsidR="00135837">
        <w:t>may be considered</w:t>
      </w:r>
      <w:r>
        <w:t xml:space="preserve"> </w:t>
      </w:r>
      <w:r w:rsidRPr="00135837">
        <w:rPr>
          <w:b/>
        </w:rPr>
        <w:t>medically necessary</w:t>
      </w:r>
      <w:r>
        <w:t xml:space="preserve"> when all of the following are met:</w:t>
      </w:r>
    </w:p>
    <w:p w14:paraId="1F64AF6B" w14:textId="5748FDDD" w:rsidR="00FB0148" w:rsidRDefault="00FB0148" w:rsidP="00135837">
      <w:pPr>
        <w:pStyle w:val="ListParagraph"/>
        <w:numPr>
          <w:ilvl w:val="3"/>
          <w:numId w:val="25"/>
        </w:numPr>
        <w:ind w:left="1080"/>
      </w:pPr>
      <w:r w:rsidRPr="00271677">
        <w:t>Nerve blocks are given at least a week apart;</w:t>
      </w:r>
    </w:p>
    <w:p w14:paraId="74AA6992" w14:textId="263FF714" w:rsidR="001424CC" w:rsidRPr="00FC1A07" w:rsidRDefault="003A6A2A" w:rsidP="00135837">
      <w:pPr>
        <w:pStyle w:val="ListParagraph"/>
        <w:numPr>
          <w:ilvl w:val="3"/>
          <w:numId w:val="25"/>
        </w:numPr>
        <w:ind w:left="1080"/>
      </w:pPr>
      <w:r>
        <w:t>There</w:t>
      </w:r>
      <w:r w:rsidR="00FB0148" w:rsidRPr="00A74981">
        <w:t xml:space="preserve"> was an</w:t>
      </w:r>
      <w:r w:rsidR="001424CC">
        <w:t xml:space="preserve"> immediate positive response to the first or second nerve block (eg, improved temperature and decreased pain)</w:t>
      </w:r>
      <w:r w:rsidR="00D861E2">
        <w:t>.</w:t>
      </w:r>
    </w:p>
    <w:p w14:paraId="749A3FA7" w14:textId="08EDBA7B" w:rsidR="003F0028" w:rsidRDefault="003F0028" w:rsidP="00A74981"/>
    <w:p w14:paraId="5C88CDFF" w14:textId="53E2D1AB" w:rsidR="003F0028" w:rsidRPr="00135837" w:rsidRDefault="003F0028" w:rsidP="00A74981">
      <w:pPr>
        <w:pStyle w:val="ListParagraph"/>
        <w:numPr>
          <w:ilvl w:val="2"/>
          <w:numId w:val="25"/>
        </w:numPr>
        <w:ind w:left="720"/>
      </w:pPr>
      <w:r w:rsidRPr="00A74981">
        <w:rPr>
          <w:i/>
        </w:rPr>
        <w:t xml:space="preserve">Additional </w:t>
      </w:r>
      <w:r w:rsidR="00F75335" w:rsidRPr="00F75335">
        <w:rPr>
          <w:i/>
        </w:rPr>
        <w:t xml:space="preserve">sympathetic </w:t>
      </w:r>
      <w:r w:rsidRPr="00A74981">
        <w:rPr>
          <w:i/>
        </w:rPr>
        <w:t>nerve blocks</w:t>
      </w:r>
      <w:r>
        <w:t xml:space="preserve"> without documented benefit from the </w:t>
      </w:r>
      <w:r w:rsidRPr="00D861E2">
        <w:t>first or second</w:t>
      </w:r>
      <w:r>
        <w:t xml:space="preserve"> are </w:t>
      </w:r>
      <w:r w:rsidRPr="00A74981">
        <w:rPr>
          <w:b/>
        </w:rPr>
        <w:t>not medically necessary</w:t>
      </w:r>
      <w:r w:rsidR="00F75335" w:rsidRPr="00F75335">
        <w:rPr>
          <w:b/>
        </w:rPr>
        <w:t>.</w:t>
      </w:r>
    </w:p>
    <w:p w14:paraId="3F925DE6" w14:textId="5D7820EA" w:rsidR="003A6A2A" w:rsidRDefault="003A6A2A" w:rsidP="00135837"/>
    <w:p w14:paraId="6493A79E" w14:textId="2317B43D" w:rsidR="003A6A2A" w:rsidRDefault="003A6A2A" w:rsidP="00135837">
      <w:pPr>
        <w:pStyle w:val="ListParagraph"/>
        <w:numPr>
          <w:ilvl w:val="2"/>
          <w:numId w:val="25"/>
        </w:numPr>
        <w:ind w:left="720"/>
      </w:pPr>
      <w:r>
        <w:lastRenderedPageBreak/>
        <w:t>Sympathetic nerve blocks for</w:t>
      </w:r>
      <w:r w:rsidR="00135837">
        <w:t xml:space="preserve"> any other indication, including </w:t>
      </w:r>
      <w:r>
        <w:t>ischemic limb pain</w:t>
      </w:r>
      <w:r w:rsidR="00135837">
        <w:t>,</w:t>
      </w:r>
      <w:r>
        <w:t xml:space="preserve"> are </w:t>
      </w:r>
      <w:r w:rsidRPr="00135837">
        <w:rPr>
          <w:b/>
        </w:rPr>
        <w:t>not medically necessary</w:t>
      </w:r>
      <w:r>
        <w:t xml:space="preserve"> as there is a lack of evidence to support effectiveness.</w:t>
      </w:r>
    </w:p>
    <w:p w14:paraId="075391DF" w14:textId="77777777" w:rsidR="003167BF" w:rsidRDefault="003167BF" w:rsidP="00436865">
      <w:pPr>
        <w:ind w:left="360"/>
      </w:pPr>
    </w:p>
    <w:p w14:paraId="2C0FD082" w14:textId="505BC247" w:rsidR="004E7CF7" w:rsidRPr="002B0255" w:rsidRDefault="00B170AB" w:rsidP="00380FC1">
      <w:pPr>
        <w:pStyle w:val="Heading3"/>
        <w:numPr>
          <w:ilvl w:val="0"/>
          <w:numId w:val="22"/>
        </w:numPr>
        <w:rPr>
          <w:i/>
        </w:rPr>
      </w:pPr>
      <w:bookmarkStart w:id="10" w:name="_Toc522621291"/>
      <w:r w:rsidRPr="002B0255">
        <w:t>Celiac Plexus Nerve Block/</w:t>
      </w:r>
      <w:r w:rsidR="004E7CF7" w:rsidRPr="004E7CF7">
        <w:t>N</w:t>
      </w:r>
      <w:r w:rsidRPr="002B0255">
        <w:t>eurolysis</w:t>
      </w:r>
      <w:bookmarkEnd w:id="10"/>
    </w:p>
    <w:p w14:paraId="75BEE36A" w14:textId="51B351C9" w:rsidR="00B170AB" w:rsidRPr="002B0255" w:rsidRDefault="004E7CF7" w:rsidP="002B0255">
      <w:pPr>
        <w:pStyle w:val="ListParagraph"/>
        <w:numPr>
          <w:ilvl w:val="0"/>
          <w:numId w:val="39"/>
        </w:numPr>
        <w:rPr>
          <w:i/>
        </w:rPr>
      </w:pPr>
      <w:r w:rsidRPr="00135837">
        <w:rPr>
          <w:i/>
        </w:rPr>
        <w:t>Celiac plexus nerve block/neurolysis</w:t>
      </w:r>
      <w:r w:rsidR="00B170AB" w:rsidRPr="00D861E2">
        <w:rPr>
          <w:i/>
        </w:rPr>
        <w:t xml:space="preserve"> </w:t>
      </w:r>
      <w:r w:rsidR="00B170AB" w:rsidRPr="00D861E2">
        <w:t>is</w:t>
      </w:r>
      <w:r w:rsidR="00B170AB">
        <w:t xml:space="preserve"> </w:t>
      </w:r>
      <w:r w:rsidR="00B170AB" w:rsidRPr="002B0255">
        <w:rPr>
          <w:b/>
        </w:rPr>
        <w:t>medically necessary</w:t>
      </w:r>
      <w:r w:rsidR="00B170AB">
        <w:t xml:space="preserve"> for chronic neuralgic pain secondary to pancreatic cancer when all of the following are met:</w:t>
      </w:r>
    </w:p>
    <w:p w14:paraId="372751B2" w14:textId="77777777" w:rsidR="00B170AB" w:rsidRPr="00B170AB" w:rsidRDefault="00B170AB" w:rsidP="002B0255">
      <w:pPr>
        <w:pStyle w:val="ListParagraph"/>
        <w:numPr>
          <w:ilvl w:val="3"/>
          <w:numId w:val="25"/>
        </w:numPr>
        <w:ind w:left="1080"/>
      </w:pPr>
      <w:r w:rsidRPr="00B170AB">
        <w:t xml:space="preserve">Diagnosis of pancreatic cancer with severe </w:t>
      </w:r>
      <w:r>
        <w:t xml:space="preserve">visceral </w:t>
      </w:r>
      <w:r w:rsidR="00A94397">
        <w:t>abdominal/back pain;</w:t>
      </w:r>
    </w:p>
    <w:p w14:paraId="7A75DAA0" w14:textId="77777777" w:rsidR="00B170AB" w:rsidRDefault="00B170AB" w:rsidP="002B0255">
      <w:pPr>
        <w:pStyle w:val="ListParagraph"/>
        <w:numPr>
          <w:ilvl w:val="3"/>
          <w:numId w:val="25"/>
        </w:numPr>
        <w:ind w:left="1080"/>
      </w:pPr>
      <w:r>
        <w:t xml:space="preserve">Strong analgesics such as opioids are no longer effective or their side effects decrease quality </w:t>
      </w:r>
      <w:r w:rsidR="00A94397">
        <w:t>of life;</w:t>
      </w:r>
    </w:p>
    <w:p w14:paraId="16511879" w14:textId="47498746" w:rsidR="001E65CD" w:rsidRDefault="00A94397" w:rsidP="002B0255">
      <w:pPr>
        <w:pStyle w:val="ListParagraph"/>
        <w:numPr>
          <w:ilvl w:val="3"/>
          <w:numId w:val="25"/>
        </w:numPr>
        <w:ind w:left="1080"/>
      </w:pPr>
      <w:r>
        <w:t>N</w:t>
      </w:r>
      <w:r w:rsidR="001E65CD">
        <w:t xml:space="preserve">o malignancy in an area of somatic innervation such as the peritoneum or diaphragm. </w:t>
      </w:r>
    </w:p>
    <w:p w14:paraId="6AD75D52" w14:textId="6105F602" w:rsidR="001F5DFD" w:rsidRDefault="001F5DFD" w:rsidP="001F5DFD">
      <w:pPr>
        <w:pStyle w:val="ListParagraph"/>
        <w:numPr>
          <w:ilvl w:val="0"/>
          <w:numId w:val="39"/>
        </w:numPr>
      </w:pPr>
      <w:r w:rsidRPr="001F5DFD">
        <w:rPr>
          <w:i/>
        </w:rPr>
        <w:t>Repeat celiac plexus nerve blocks</w:t>
      </w:r>
      <w:r w:rsidR="00C337E8">
        <w:rPr>
          <w:i/>
        </w:rPr>
        <w:t xml:space="preserve"> or neurolysis</w:t>
      </w:r>
      <w:r>
        <w:t xml:space="preserve"> are not medically necessary as there is a lack of evidence to support effectiveness.</w:t>
      </w:r>
    </w:p>
    <w:p w14:paraId="4024A69C" w14:textId="77777777" w:rsidR="00B170AB" w:rsidRPr="00436865" w:rsidRDefault="00B170AB" w:rsidP="00436865">
      <w:pPr>
        <w:ind w:left="360"/>
      </w:pPr>
    </w:p>
    <w:p w14:paraId="5918818B" w14:textId="21E04F57" w:rsidR="00436865" w:rsidRPr="004D4E76" w:rsidRDefault="00436865" w:rsidP="00436865">
      <w:pPr>
        <w:pStyle w:val="Heading1"/>
        <w:keepNext w:val="0"/>
        <w:numPr>
          <w:ilvl w:val="0"/>
          <w:numId w:val="22"/>
        </w:numPr>
        <w:rPr>
          <w:sz w:val="24"/>
        </w:rPr>
      </w:pPr>
      <w:bookmarkStart w:id="11" w:name="_Toc510775434"/>
      <w:bookmarkStart w:id="12" w:name="_Toc522621292"/>
      <w:r>
        <w:rPr>
          <w:sz w:val="24"/>
        </w:rPr>
        <w:t>Intercostal Nerve Block</w:t>
      </w:r>
      <w:r w:rsidR="009D1EB8">
        <w:rPr>
          <w:sz w:val="24"/>
        </w:rPr>
        <w:t>/</w:t>
      </w:r>
      <w:r w:rsidRPr="004D4E76">
        <w:rPr>
          <w:sz w:val="24"/>
        </w:rPr>
        <w:t>Neurolysis</w:t>
      </w:r>
      <w:bookmarkEnd w:id="11"/>
      <w:bookmarkEnd w:id="12"/>
    </w:p>
    <w:p w14:paraId="1C2E874B" w14:textId="5F6A3A6F" w:rsidR="00436865" w:rsidRPr="004D4E76" w:rsidRDefault="00436865" w:rsidP="00436865">
      <w:pPr>
        <w:numPr>
          <w:ilvl w:val="0"/>
          <w:numId w:val="30"/>
        </w:numPr>
        <w:ind w:left="720"/>
      </w:pPr>
      <w:r>
        <w:rPr>
          <w:i/>
        </w:rPr>
        <w:t>Intercostal nerve block</w:t>
      </w:r>
      <w:r w:rsidRPr="004D4E76">
        <w:rPr>
          <w:i/>
        </w:rPr>
        <w:t>/neurolysis</w:t>
      </w:r>
      <w:r>
        <w:t xml:space="preserve"> is</w:t>
      </w:r>
      <w:r w:rsidRPr="004D4E76">
        <w:t xml:space="preserve"> </w:t>
      </w:r>
      <w:r w:rsidRPr="004D4E76">
        <w:rPr>
          <w:rFonts w:ascii="Times New Roman Bold" w:hAnsi="Times New Roman Bold"/>
          <w:b/>
        </w:rPr>
        <w:t>medically necessary</w:t>
      </w:r>
      <w:r w:rsidRPr="004D4E76">
        <w:t xml:space="preserve"> for chronic neuralgic pain secondary to an injured intercostal nerve as a result of a rib fracture, a thoracotomy incision or chronic pain due to post herpetic neuralgia, or other neuropathic process when all of the following are met: </w:t>
      </w:r>
    </w:p>
    <w:p w14:paraId="4008FAE6" w14:textId="77777777" w:rsidR="00436865" w:rsidRPr="004D4E76" w:rsidRDefault="00436865" w:rsidP="00436865">
      <w:pPr>
        <w:numPr>
          <w:ilvl w:val="0"/>
          <w:numId w:val="31"/>
        </w:numPr>
        <w:ind w:left="1080"/>
      </w:pPr>
      <w:r w:rsidRPr="004D4E76">
        <w:t>Suspected organic problem;</w:t>
      </w:r>
    </w:p>
    <w:p w14:paraId="338E1B4D" w14:textId="77777777" w:rsidR="00436865" w:rsidRPr="004D4E76" w:rsidRDefault="00436865" w:rsidP="00436865">
      <w:pPr>
        <w:numPr>
          <w:ilvl w:val="0"/>
          <w:numId w:val="31"/>
        </w:numPr>
        <w:ind w:left="1080"/>
      </w:pPr>
      <w:r w:rsidRPr="004D4E76">
        <w:t>Non</w:t>
      </w:r>
      <w:r>
        <w:t>-</w:t>
      </w:r>
      <w:r w:rsidRPr="004D4E76">
        <w:t xml:space="preserve">responsiveness to conservative modalities of treatment; </w:t>
      </w:r>
    </w:p>
    <w:p w14:paraId="6DBA3954" w14:textId="77777777" w:rsidR="00436865" w:rsidRPr="004D4E76" w:rsidRDefault="00436865" w:rsidP="00436865">
      <w:pPr>
        <w:numPr>
          <w:ilvl w:val="0"/>
          <w:numId w:val="31"/>
        </w:numPr>
        <w:ind w:left="1080"/>
      </w:pPr>
      <w:r w:rsidRPr="004D4E76">
        <w:t>Pain and disability of moderate to severe degree;</w:t>
      </w:r>
    </w:p>
    <w:p w14:paraId="1C363BFC" w14:textId="72477B68" w:rsidR="00436865" w:rsidRDefault="00436865" w:rsidP="00436865">
      <w:pPr>
        <w:numPr>
          <w:ilvl w:val="0"/>
          <w:numId w:val="31"/>
        </w:numPr>
        <w:ind w:left="1080"/>
      </w:pPr>
      <w:r w:rsidRPr="004D4E76">
        <w:t xml:space="preserve">No evidence of contraindications such as infection or pain of predominately </w:t>
      </w:r>
      <w:r>
        <w:t>psychogenic origin.</w:t>
      </w:r>
      <w:r w:rsidRPr="004D4E76">
        <w:t xml:space="preserve"> </w:t>
      </w:r>
    </w:p>
    <w:p w14:paraId="081D3C11" w14:textId="77777777" w:rsidR="00FA7412" w:rsidRDefault="00FA7412" w:rsidP="00FA7412">
      <w:pPr>
        <w:pStyle w:val="Heading1"/>
        <w:keepNext w:val="0"/>
        <w:ind w:left="360"/>
        <w:rPr>
          <w:sz w:val="24"/>
        </w:rPr>
      </w:pPr>
      <w:bookmarkStart w:id="13" w:name="_Toc510775431"/>
    </w:p>
    <w:p w14:paraId="1FCA8558" w14:textId="127E089D" w:rsidR="00FA7412" w:rsidRDefault="00FA7412" w:rsidP="00FA7412">
      <w:pPr>
        <w:pStyle w:val="Heading1"/>
        <w:keepNext w:val="0"/>
        <w:numPr>
          <w:ilvl w:val="0"/>
          <w:numId w:val="22"/>
        </w:numPr>
        <w:rPr>
          <w:sz w:val="24"/>
        </w:rPr>
      </w:pPr>
      <w:bookmarkStart w:id="14" w:name="_Toc522621293"/>
      <w:r>
        <w:rPr>
          <w:sz w:val="24"/>
        </w:rPr>
        <w:t>Genicular Nerve Blocks and Genicular Nerve Radiofrequency Neurotomy</w:t>
      </w:r>
      <w:bookmarkEnd w:id="13"/>
      <w:bookmarkEnd w:id="14"/>
    </w:p>
    <w:p w14:paraId="376A4694" w14:textId="77777777" w:rsidR="00FA7412" w:rsidRDefault="00FA7412" w:rsidP="00FA7412">
      <w:pPr>
        <w:ind w:left="360"/>
      </w:pPr>
      <w:r>
        <w:rPr>
          <w:bCs/>
          <w:i/>
        </w:rPr>
        <w:t>Genicular nerve blocks</w:t>
      </w:r>
      <w:r>
        <w:rPr>
          <w:bCs/>
        </w:rPr>
        <w:t xml:space="preserve"> and </w:t>
      </w:r>
      <w:r>
        <w:rPr>
          <w:bCs/>
          <w:i/>
        </w:rPr>
        <w:t>radiofrequency neurotomy of the articular nerve</w:t>
      </w:r>
      <w:r>
        <w:rPr>
          <w:bCs/>
        </w:rPr>
        <w:t xml:space="preserve"> are considered </w:t>
      </w:r>
      <w:r>
        <w:rPr>
          <w:b/>
          <w:bCs/>
        </w:rPr>
        <w:t>not medically necessary</w:t>
      </w:r>
      <w:r>
        <w:rPr>
          <w:bCs/>
        </w:rPr>
        <w:t xml:space="preserve"> because effectiveness has not been established.</w:t>
      </w:r>
      <w:r>
        <w:t xml:space="preserve"> </w:t>
      </w:r>
      <w:r>
        <w:rPr>
          <w:bCs/>
        </w:rPr>
        <w:t>There is insufficient evidence to determine safety and effectiveness.</w:t>
      </w:r>
    </w:p>
    <w:p w14:paraId="277ACCA2" w14:textId="1EAF95D9" w:rsidR="00436865" w:rsidRDefault="00436865" w:rsidP="00380FC1"/>
    <w:p w14:paraId="2D09235E" w14:textId="77777777" w:rsidR="003167BF" w:rsidRPr="00402A92" w:rsidRDefault="003167BF" w:rsidP="003167BF">
      <w:pPr>
        <w:pStyle w:val="Heading1"/>
        <w:keepNext w:val="0"/>
        <w:numPr>
          <w:ilvl w:val="0"/>
          <w:numId w:val="22"/>
        </w:numPr>
        <w:rPr>
          <w:sz w:val="24"/>
        </w:rPr>
      </w:pPr>
      <w:bookmarkStart w:id="15" w:name="_Toc510775432"/>
      <w:bookmarkStart w:id="16" w:name="_Toc522621294"/>
      <w:r w:rsidRPr="00402A92">
        <w:rPr>
          <w:sz w:val="24"/>
        </w:rPr>
        <w:t>Peripheral/Ganglion Nerve Blocks for the Treatment of Chronic Nonmalignant Pain</w:t>
      </w:r>
      <w:bookmarkEnd w:id="15"/>
      <w:bookmarkEnd w:id="16"/>
    </w:p>
    <w:p w14:paraId="529E8FAF" w14:textId="17F6B412" w:rsidR="003167BF" w:rsidRPr="00E36160" w:rsidRDefault="003167BF" w:rsidP="003167BF">
      <w:pPr>
        <w:ind w:left="360"/>
      </w:pPr>
      <w:r w:rsidRPr="00E36160">
        <w:rPr>
          <w:i/>
          <w:iCs/>
        </w:rPr>
        <w:t>Peripheral/</w:t>
      </w:r>
      <w:r>
        <w:rPr>
          <w:i/>
          <w:iCs/>
        </w:rPr>
        <w:t>g</w:t>
      </w:r>
      <w:r w:rsidRPr="00E36160">
        <w:rPr>
          <w:i/>
          <w:iCs/>
        </w:rPr>
        <w:t xml:space="preserve">anglion </w:t>
      </w:r>
      <w:r>
        <w:rPr>
          <w:i/>
          <w:iCs/>
        </w:rPr>
        <w:t>n</w:t>
      </w:r>
      <w:r w:rsidRPr="00E36160">
        <w:rPr>
          <w:i/>
          <w:iCs/>
        </w:rPr>
        <w:t xml:space="preserve">erve </w:t>
      </w:r>
      <w:r>
        <w:rPr>
          <w:i/>
          <w:iCs/>
        </w:rPr>
        <w:t>b</w:t>
      </w:r>
      <w:r w:rsidRPr="00E36160">
        <w:rPr>
          <w:i/>
          <w:iCs/>
        </w:rPr>
        <w:t>locks</w:t>
      </w:r>
      <w:r w:rsidR="00DD4CF1">
        <w:rPr>
          <w:i/>
          <w:iCs/>
        </w:rPr>
        <w:t xml:space="preserve"> or</w:t>
      </w:r>
      <w:r w:rsidR="00ED09CB">
        <w:rPr>
          <w:i/>
          <w:iCs/>
        </w:rPr>
        <w:t xml:space="preserve"> </w:t>
      </w:r>
      <w:r w:rsidR="00DD4CF1">
        <w:rPr>
          <w:i/>
          <w:iCs/>
        </w:rPr>
        <w:t>neurolysis</w:t>
      </w:r>
      <w:r w:rsidRPr="00E36160">
        <w:rPr>
          <w:iCs/>
        </w:rPr>
        <w:t xml:space="preserve"> </w:t>
      </w:r>
      <w:r>
        <w:rPr>
          <w:iCs/>
        </w:rPr>
        <w:t>for any condition not indicated elsewhere in this policy</w:t>
      </w:r>
      <w:r w:rsidR="00DD4CF1">
        <w:rPr>
          <w:iCs/>
        </w:rPr>
        <w:t>,</w:t>
      </w:r>
      <w:r>
        <w:rPr>
          <w:iCs/>
        </w:rPr>
        <w:t xml:space="preserve"> </w:t>
      </w:r>
      <w:r w:rsidRPr="00E36160">
        <w:rPr>
          <w:iCs/>
        </w:rPr>
        <w:t xml:space="preserve">are considered </w:t>
      </w:r>
      <w:r w:rsidR="00601FAA">
        <w:rPr>
          <w:b/>
          <w:iCs/>
        </w:rPr>
        <w:t>experimental/investigational</w:t>
      </w:r>
      <w:r>
        <w:rPr>
          <w:iCs/>
        </w:rPr>
        <w:t xml:space="preserve"> as there is ongoing research but insufficient evidence to establish efficacy.</w:t>
      </w:r>
    </w:p>
    <w:p w14:paraId="27FB11CE" w14:textId="77777777" w:rsidR="003167BF" w:rsidRPr="00436865" w:rsidRDefault="003167BF" w:rsidP="00436865">
      <w:pPr>
        <w:ind w:left="900"/>
      </w:pPr>
    </w:p>
    <w:p w14:paraId="628DB77B" w14:textId="77777777" w:rsidR="00FB0592" w:rsidRDefault="00FB0592" w:rsidP="00FB0592">
      <w:pPr>
        <w:pStyle w:val="Heading2"/>
        <w:rPr>
          <w:u w:val="none"/>
        </w:rPr>
      </w:pPr>
      <w:bookmarkStart w:id="17" w:name="_Toc522612385"/>
      <w:bookmarkStart w:id="18" w:name="_Toc522621295"/>
      <w:r w:rsidRPr="00B777AF">
        <w:rPr>
          <w:u w:val="none"/>
        </w:rPr>
        <w:t>Background</w:t>
      </w:r>
      <w:bookmarkEnd w:id="17"/>
      <w:bookmarkEnd w:id="18"/>
    </w:p>
    <w:p w14:paraId="71C4CA7D" w14:textId="77777777" w:rsidR="003167BF" w:rsidRDefault="003167BF" w:rsidP="003167BF">
      <w:pPr>
        <w:rPr>
          <w:i/>
        </w:rPr>
      </w:pPr>
      <w:r w:rsidRPr="002C6485">
        <w:rPr>
          <w:i/>
        </w:rPr>
        <w:t>Local Injections for Cervicogenic and Occipital Neuralgia</w:t>
      </w:r>
    </w:p>
    <w:p w14:paraId="25991153" w14:textId="777B189A" w:rsidR="003167BF" w:rsidRDefault="003167BF" w:rsidP="003167BF">
      <w:r w:rsidRPr="00747D0D">
        <w:t xml:space="preserve">Greater occipital nerve blocks have been advocated as a diagnostic test for cervicogenic headache and occipital neuralgia. </w:t>
      </w:r>
      <w:r w:rsidRPr="00826D4F">
        <w:t>The effectiveness of greater occipital nerve block in patients with primary headache syndromes is controversial</w:t>
      </w:r>
      <w:r>
        <w:t>. The International Headache Society (IHS) defines occipital neuralgia as un</w:t>
      </w:r>
      <w:r w:rsidRPr="001E4305">
        <w:t>ilateral or bilateral paroxysmal, shooting or stabbing pain in the posterior part of the scalp, in the distribution of the greater, lesser or third occipital nerves, sometimes accompanied by diminished sensation or dysaesthesia in the affected area and commonly associated with tenderness over the involved nerve(s).</w:t>
      </w:r>
      <w:r w:rsidR="006A1D61">
        <w:rPr>
          <w:vertAlign w:val="superscript"/>
        </w:rPr>
        <w:t>1</w:t>
      </w:r>
      <w:r>
        <w:t xml:space="preserve">  The IHS includes relief of pain following a </w:t>
      </w:r>
      <w:r w:rsidRPr="001E4305">
        <w:t>local anesthetic block of the affected nerve</w:t>
      </w:r>
      <w:r>
        <w:t xml:space="preserve"> as part of their diagnostic criteria for occipital neuralgia. T</w:t>
      </w:r>
      <w:r w:rsidRPr="00CD5615">
        <w:t>hus, the principal indication for occipital block is diagnosis. Another indication is the treatment of chronic occipital neuralgia, often with a series of therapeutic blocks combining local anesthetic and corticosteroid.</w:t>
      </w:r>
      <w:r>
        <w:t xml:space="preserve">  </w:t>
      </w:r>
      <w:r w:rsidRPr="001E4305">
        <w:t>Pain relief is typically prompt and may last several weeks or even months</w:t>
      </w:r>
      <w:r>
        <w:t xml:space="preserve">. At that </w:t>
      </w:r>
      <w:r w:rsidRPr="001E4305">
        <w:t>time the injection may be repeated</w:t>
      </w:r>
      <w:r>
        <w:t xml:space="preserve">.  </w:t>
      </w:r>
    </w:p>
    <w:p w14:paraId="7C3A76FD" w14:textId="77777777" w:rsidR="003167BF" w:rsidRDefault="003167BF" w:rsidP="003167BF"/>
    <w:p w14:paraId="69F3BFF1" w14:textId="77777777" w:rsidR="003167BF" w:rsidRDefault="003167BF" w:rsidP="003167BF">
      <w:pPr>
        <w:rPr>
          <w:i/>
        </w:rPr>
      </w:pPr>
      <w:r>
        <w:rPr>
          <w:i/>
        </w:rPr>
        <w:t>Sympathetic Nerve Blocks</w:t>
      </w:r>
    </w:p>
    <w:p w14:paraId="47178074" w14:textId="77777777" w:rsidR="003167BF" w:rsidRPr="004306D2" w:rsidRDefault="003167BF" w:rsidP="003167BF">
      <w:r w:rsidRPr="004306D2">
        <w:t>Sympathetic nerves may be injected for several reasons:</w:t>
      </w:r>
    </w:p>
    <w:p w14:paraId="6BA7BE4D" w14:textId="77777777" w:rsidR="003167BF" w:rsidRPr="004306D2" w:rsidRDefault="003167BF" w:rsidP="000A320E">
      <w:pPr>
        <w:numPr>
          <w:ilvl w:val="1"/>
          <w:numId w:val="37"/>
        </w:numPr>
        <w:ind w:left="360"/>
      </w:pPr>
      <w:r>
        <w:t>D</w:t>
      </w:r>
      <w:r w:rsidRPr="004306D2">
        <w:t>iagnostic - to determine the source of pain, e.g., to identify or pinpoint a nerve that acts as a pathway for pain; to determine the type of nerve that conducts the pain; to distinguish between pain that is central (within the spinal cord) or peripheral (outside the spinal cord) in origin; or to determine whether a neurolytic block or surgical lysis of the nerve should be performed;</w:t>
      </w:r>
    </w:p>
    <w:p w14:paraId="1D3C79D9" w14:textId="77777777" w:rsidR="003167BF" w:rsidRPr="004306D2" w:rsidRDefault="003167BF" w:rsidP="000A320E">
      <w:pPr>
        <w:numPr>
          <w:ilvl w:val="1"/>
          <w:numId w:val="37"/>
        </w:numPr>
        <w:ind w:left="360"/>
      </w:pPr>
      <w:r>
        <w:t>T</w:t>
      </w:r>
      <w:r w:rsidRPr="004306D2">
        <w:t>herapeutic - to treat painful conditions that respond to nerve blocks (e.g., celiac block for pain of pancreatic cancer); and</w:t>
      </w:r>
    </w:p>
    <w:p w14:paraId="341B46A2" w14:textId="77777777" w:rsidR="003167BF" w:rsidRDefault="003167BF" w:rsidP="000A320E">
      <w:pPr>
        <w:numPr>
          <w:ilvl w:val="1"/>
          <w:numId w:val="37"/>
        </w:numPr>
        <w:ind w:left="360"/>
      </w:pPr>
      <w:r>
        <w:t>P</w:t>
      </w:r>
      <w:r w:rsidRPr="004306D2">
        <w:t>rognostic - to predict the outcome of long-lasting interventions (e.g., lumbar sympathectomy)</w:t>
      </w:r>
      <w:r>
        <w:t>.</w:t>
      </w:r>
    </w:p>
    <w:p w14:paraId="157195A9" w14:textId="77777777" w:rsidR="003167BF" w:rsidRDefault="003167BF" w:rsidP="003167BF"/>
    <w:p w14:paraId="418741F2" w14:textId="6AAFB14A" w:rsidR="003167BF" w:rsidRDefault="003167BF" w:rsidP="003167BF">
      <w:r w:rsidRPr="00C77FA5">
        <w:t xml:space="preserve">The response to sympathetic blockade is the best diagnostic test for </w:t>
      </w:r>
      <w:r>
        <w:t>CRPS</w:t>
      </w:r>
      <w:r w:rsidRPr="00C77FA5">
        <w:t xml:space="preserve">. If the patient has had a technically successful sympathetic block and does not obtain significant relief, then the patient probably does not have </w:t>
      </w:r>
      <w:r>
        <w:t>CRPS</w:t>
      </w:r>
      <w:r w:rsidRPr="00C77FA5">
        <w:t>. Over two thirds of patients will obtain significant relief with minimal effect on motor and sensory function because the sympathetic fibers are the least myelinated (as compared to motor and sensory nerve fibers) these fibers are the first to be affected by the local anesthetic.</w:t>
      </w:r>
    </w:p>
    <w:p w14:paraId="71315A7E" w14:textId="355930A8" w:rsidR="003A6A2A" w:rsidRDefault="003A6A2A" w:rsidP="003167BF"/>
    <w:p w14:paraId="39AC7DB1" w14:textId="78B80F4D" w:rsidR="003A6A2A" w:rsidRDefault="003A6A2A" w:rsidP="003167BF">
      <w:r>
        <w:t xml:space="preserve"> A 2014 case report and literature review identified only five cases, and no Level I or II evidence-based trials to support the use of sympathetic nerve block for ischemic pain.</w:t>
      </w:r>
      <w:r w:rsidR="007D0C4C">
        <w:rPr>
          <w:vertAlign w:val="superscript"/>
        </w:rPr>
        <w:t>16</w:t>
      </w:r>
      <w:r>
        <w:t xml:space="preserve"> The authors presented two cases of patients who experienced severe pain due to ischemia despite full regional nerve blocks.</w:t>
      </w:r>
      <w:r w:rsidR="007D0C4C" w:rsidRPr="00135837">
        <w:rPr>
          <w:vertAlign w:val="superscript"/>
        </w:rPr>
        <w:t>16</w:t>
      </w:r>
      <w:r>
        <w:t xml:space="preserve"> The available literature is not sufficient to support </w:t>
      </w:r>
      <w:r w:rsidR="007D0C4C">
        <w:t>the use of sympathetic nerve blocks for ischemic limb pain.</w:t>
      </w:r>
    </w:p>
    <w:p w14:paraId="7CF9BAAD" w14:textId="77777777" w:rsidR="00B170AB" w:rsidRDefault="00B170AB" w:rsidP="003167BF"/>
    <w:p w14:paraId="137B6FEB" w14:textId="77777777" w:rsidR="00B170AB" w:rsidRPr="00135837" w:rsidRDefault="00B170AB" w:rsidP="003167BF">
      <w:pPr>
        <w:rPr>
          <w:i/>
        </w:rPr>
      </w:pPr>
      <w:r w:rsidRPr="00135837">
        <w:rPr>
          <w:i/>
        </w:rPr>
        <w:t>Celiac Plexus Nerve Block/Neurolysis</w:t>
      </w:r>
    </w:p>
    <w:p w14:paraId="01814199" w14:textId="44A61812" w:rsidR="00B170AB" w:rsidRDefault="00C91E69" w:rsidP="003167BF">
      <w:pPr>
        <w:rPr>
          <w:vertAlign w:val="superscript"/>
        </w:rPr>
      </w:pPr>
      <w:r>
        <w:t>Although its analgesic effectiveness is similar</w:t>
      </w:r>
      <w:r w:rsidR="001E65CD">
        <w:t xml:space="preserve"> to analgesic drugs, </w:t>
      </w:r>
      <w:r w:rsidR="00A94397">
        <w:t>celiac plexus neurolysis offers</w:t>
      </w:r>
      <w:r w:rsidR="001E65CD">
        <w:t xml:space="preserve"> pain reduction without the significant adverse effects of opiates</w:t>
      </w:r>
      <w:r w:rsidR="006A1D61">
        <w:t>.</w:t>
      </w:r>
      <w:r w:rsidR="006A1D61">
        <w:rPr>
          <w:vertAlign w:val="superscript"/>
        </w:rPr>
        <w:t>2</w:t>
      </w:r>
      <w:r w:rsidR="006A1D61">
        <w:t xml:space="preserve"> </w:t>
      </w:r>
      <w:r>
        <w:t>A multidisciplinary, international guideline issued a strong r</w:t>
      </w:r>
      <w:r w:rsidR="00A94397">
        <w:t>e</w:t>
      </w:r>
      <w:r>
        <w:t>commendation based on moderate quality evidence for celiac plexus neurolysis as a treatment for pain associated with advanced pancreatic cancer.</w:t>
      </w:r>
      <w:r w:rsidR="009D1EB8">
        <w:rPr>
          <w:vertAlign w:val="superscript"/>
        </w:rPr>
        <w:t>2</w:t>
      </w:r>
      <w:r>
        <w:t xml:space="preserve"> </w:t>
      </w:r>
      <w:r w:rsidR="009D1EB8">
        <w:t>Furthermore, a</w:t>
      </w:r>
      <w:r w:rsidR="000A320E">
        <w:t xml:space="preserve"> 2011 Cochrane review stated that celiac plexus block (neurolysis) significantly reduced opiate use and lowered pain compared to the control group.</w:t>
      </w:r>
      <w:r w:rsidR="006A1D61">
        <w:rPr>
          <w:vertAlign w:val="superscript"/>
        </w:rPr>
        <w:t>3</w:t>
      </w:r>
    </w:p>
    <w:p w14:paraId="48494028" w14:textId="4F42A4D7" w:rsidR="009D1EB8" w:rsidRDefault="009D1EB8" w:rsidP="003167BF">
      <w:pPr>
        <w:rPr>
          <w:vertAlign w:val="superscript"/>
        </w:rPr>
      </w:pPr>
    </w:p>
    <w:p w14:paraId="4ABAB109" w14:textId="3B1F1FFB" w:rsidR="009D1EB8" w:rsidRPr="00C90A73" w:rsidRDefault="009D1EB8" w:rsidP="003167BF">
      <w:pPr>
        <w:rPr>
          <w:vertAlign w:val="superscript"/>
        </w:rPr>
      </w:pPr>
      <w:r>
        <w:t>The optimal timing of celiac plexus neurolysis for pain due to pancreatic cancer is not known.</w:t>
      </w:r>
      <w:r>
        <w:rPr>
          <w:vertAlign w:val="superscript"/>
        </w:rPr>
        <w:t xml:space="preserve">2 </w:t>
      </w:r>
      <w:r>
        <w:t xml:space="preserve">Advocates of an earlier approach argue that pain is more effectively addressed </w:t>
      </w:r>
      <w:r w:rsidR="00C90A73">
        <w:t xml:space="preserve">by neurolysis </w:t>
      </w:r>
      <w:r>
        <w:t xml:space="preserve">when treated earlier, and opiate-related side effects may also be reduced compared to later treatment. However, </w:t>
      </w:r>
      <w:r w:rsidR="00C90A73">
        <w:t>the effects of celiac plexus neurolysis diminish over time, which would leave a patient with fewer options as the cancer progresses and pain becomes more severe.</w:t>
      </w:r>
      <w:r w:rsidR="00C90A73">
        <w:rPr>
          <w:vertAlign w:val="superscript"/>
        </w:rPr>
        <w:t xml:space="preserve"> </w:t>
      </w:r>
      <w:r w:rsidR="00C90A73">
        <w:t>Repeat celiac plexus neurolysis is effective only about 30% of the time and is not recommended.</w:t>
      </w:r>
      <w:r w:rsidR="00C90A73">
        <w:rPr>
          <w:vertAlign w:val="superscript"/>
        </w:rPr>
        <w:t>2, 17</w:t>
      </w:r>
    </w:p>
    <w:p w14:paraId="56BE3909" w14:textId="77777777" w:rsidR="003167BF" w:rsidRDefault="003167BF" w:rsidP="003167BF"/>
    <w:p w14:paraId="5A9EFFC9" w14:textId="77777777" w:rsidR="003167BF" w:rsidRPr="00AF71F5" w:rsidRDefault="003167BF" w:rsidP="003167BF">
      <w:pPr>
        <w:rPr>
          <w:i/>
        </w:rPr>
      </w:pPr>
      <w:r w:rsidRPr="00AF71F5">
        <w:rPr>
          <w:i/>
        </w:rPr>
        <w:t>Intercostal Nerve Blocks</w:t>
      </w:r>
    </w:p>
    <w:p w14:paraId="20C7AE71" w14:textId="066CD492" w:rsidR="003167BF" w:rsidRDefault="003167BF" w:rsidP="003167BF">
      <w:r w:rsidRPr="00AF71F5">
        <w:t xml:space="preserve">Intermittent intercostal nerve blocks </w:t>
      </w:r>
      <w:r>
        <w:t>can be</w:t>
      </w:r>
      <w:r w:rsidRPr="00AF71F5">
        <w:t xml:space="preserve"> used to control pain in the chest</w:t>
      </w:r>
      <w:r>
        <w:t xml:space="preserve"> and</w:t>
      </w:r>
      <w:r w:rsidRPr="00AF71F5">
        <w:t xml:space="preserve"> upper abdomen</w:t>
      </w:r>
      <w:r>
        <w:t>,</w:t>
      </w:r>
      <w:r w:rsidRPr="00AF71F5">
        <w:t xml:space="preserve"> </w:t>
      </w:r>
      <w:r>
        <w:t>such</w:t>
      </w:r>
      <w:r w:rsidRPr="00AF71F5">
        <w:t xml:space="preserve"> as pain associated with rib fractures</w:t>
      </w:r>
      <w:r w:rsidRPr="00422718">
        <w:t xml:space="preserve"> </w:t>
      </w:r>
      <w:r w:rsidRPr="004D4E76">
        <w:t>or chronic pain due to post herpetic neuralgia</w:t>
      </w:r>
      <w:r>
        <w:t>.</w:t>
      </w:r>
      <w:r w:rsidRPr="00AF71F5">
        <w:t xml:space="preserve"> </w:t>
      </w:r>
      <w:r>
        <w:t xml:space="preserve"> </w:t>
      </w:r>
      <w:r w:rsidRPr="00AF71F5">
        <w:t>Intercostal nerve blocks can be performed using anatomic landmarks or with ultrasound guidance, which can be used to minimize the chance of intravascular injection and pneumothorax and to increas</w:t>
      </w:r>
      <w:r w:rsidR="009D1EB8">
        <w:t>e reliable dermatomal coverage.</w:t>
      </w:r>
      <w:r w:rsidR="006A1D61">
        <w:rPr>
          <w:vertAlign w:val="superscript"/>
        </w:rPr>
        <w:t>4,</w:t>
      </w:r>
      <w:r w:rsidR="009D1EB8">
        <w:rPr>
          <w:vertAlign w:val="superscript"/>
        </w:rPr>
        <w:t xml:space="preserve"> </w:t>
      </w:r>
      <w:r w:rsidR="006A1D61">
        <w:rPr>
          <w:vertAlign w:val="superscript"/>
        </w:rPr>
        <w:t>8</w:t>
      </w:r>
      <w:r>
        <w:t xml:space="preserve"> </w:t>
      </w:r>
    </w:p>
    <w:p w14:paraId="277BF886" w14:textId="77777777" w:rsidR="003167BF" w:rsidRDefault="003167BF" w:rsidP="003167BF"/>
    <w:p w14:paraId="59F9ED7E" w14:textId="4B4C2A06" w:rsidR="003167BF" w:rsidRPr="00AF71F5" w:rsidRDefault="003167BF" w:rsidP="003167BF">
      <w:pPr>
        <w:rPr>
          <w:vertAlign w:val="superscript"/>
        </w:rPr>
      </w:pPr>
      <w:r w:rsidRPr="00AF71F5">
        <w:t>For isolated injuries, such as single rib fracture, nonsteroidal anti-inflammatory drugs with or without opioids would be the initial treatment. For more severe injuries, particularly if ventilation is compromised, intercostal nerve blocks may be needed. For patients with multiple rib fractures, there is a need to perform the procedure at multiple intercostal levels. Repeated blockade may be needed for prolonged relief upon return of pain and</w:t>
      </w:r>
      <w:r>
        <w:t>/or</w:t>
      </w:r>
      <w:r w:rsidRPr="00AF71F5">
        <w:t xml:space="preserve"> deterioration in functional status. For repeat blocks or other interventions, patient must have been responsive to prior interventions with improvement in physical and functional</w:t>
      </w:r>
      <w:r>
        <w:t xml:space="preserve"> </w:t>
      </w:r>
      <w:r w:rsidRPr="00AF71F5">
        <w:t xml:space="preserve">status. </w:t>
      </w:r>
      <w:r w:rsidR="006A1D61">
        <w:rPr>
          <w:vertAlign w:val="superscript"/>
        </w:rPr>
        <w:t>5,</w:t>
      </w:r>
      <w:r w:rsidR="009D1EB8">
        <w:rPr>
          <w:vertAlign w:val="superscript"/>
        </w:rPr>
        <w:t xml:space="preserve"> </w:t>
      </w:r>
      <w:r w:rsidR="006A1D61">
        <w:rPr>
          <w:vertAlign w:val="superscript"/>
        </w:rPr>
        <w:t>8</w:t>
      </w:r>
      <w:r w:rsidRPr="00AF71F5">
        <w:rPr>
          <w:vertAlign w:val="superscript"/>
        </w:rPr>
        <w:t xml:space="preserve">  </w:t>
      </w:r>
    </w:p>
    <w:p w14:paraId="6418D92E" w14:textId="77777777" w:rsidR="003167BF" w:rsidRPr="00AF71F5" w:rsidRDefault="003167BF" w:rsidP="003167BF">
      <w:pPr>
        <w:rPr>
          <w:vertAlign w:val="superscript"/>
        </w:rPr>
      </w:pPr>
    </w:p>
    <w:p w14:paraId="2850B4D2" w14:textId="4ED19AA2" w:rsidR="003167BF" w:rsidRPr="00AF71F5" w:rsidRDefault="003167BF" w:rsidP="003167BF">
      <w:pPr>
        <w:rPr>
          <w:vertAlign w:val="superscript"/>
        </w:rPr>
      </w:pPr>
      <w:r w:rsidRPr="00AF71F5">
        <w:t xml:space="preserve">Regional anesthesia plays an important role in thoracic surgery, particularly with regard to post-operative pain control. The first choice of regional anesthesia for thoracic surgery is epidural analgesia or thoracic paravertebral block. In general, the analgesic efficiencies of both these types of anesthesia are equivalent; however, thoracic paravertebral block has some advantages over epidural analgesia, including fewer complications. When these two blocks are contraindicated, intercostal nerve block or interpleural block should be considered. </w:t>
      </w:r>
      <w:r w:rsidR="006A1D61">
        <w:rPr>
          <w:vertAlign w:val="superscript"/>
        </w:rPr>
        <w:t>6,</w:t>
      </w:r>
      <w:r w:rsidR="009D1EB8">
        <w:rPr>
          <w:vertAlign w:val="superscript"/>
        </w:rPr>
        <w:t xml:space="preserve"> </w:t>
      </w:r>
      <w:r w:rsidR="006A1D61">
        <w:rPr>
          <w:vertAlign w:val="superscript"/>
        </w:rPr>
        <w:t>7</w:t>
      </w:r>
    </w:p>
    <w:p w14:paraId="3B35A079" w14:textId="77777777" w:rsidR="003167BF" w:rsidRDefault="003167BF" w:rsidP="00335DE4"/>
    <w:p w14:paraId="135A270A" w14:textId="77777777" w:rsidR="003167BF" w:rsidRDefault="003167BF" w:rsidP="003167BF">
      <w:pPr>
        <w:rPr>
          <w:i/>
        </w:rPr>
      </w:pPr>
      <w:r w:rsidRPr="002D0DEA">
        <w:rPr>
          <w:i/>
        </w:rPr>
        <w:t>Genicular Nerve Blocks and Radiofrequency Neurotomy</w:t>
      </w:r>
    </w:p>
    <w:p w14:paraId="04985F63" w14:textId="2FEA73A9" w:rsidR="005E75E1" w:rsidRPr="003167BF" w:rsidRDefault="003167BF" w:rsidP="005E75E1">
      <w:r w:rsidRPr="00A82C7D">
        <w:t>The genicular nerve is a sensory nerve that surrounds the knee and provides innervation for the joint</w:t>
      </w:r>
      <w:r>
        <w:t xml:space="preserve">. Genicular nerve blocks and radiofrequency neurotomy are emerging interventions for knee pain. </w:t>
      </w:r>
      <w:r w:rsidR="005E75E1">
        <w:t>The limited evidence regarding genicular nerve blocks for determining appropriateness of treatment with genicular radiofrequency ablation has reached conflicting results</w:t>
      </w:r>
      <w:r w:rsidR="006A1D61">
        <w:t>.</w:t>
      </w:r>
      <w:r w:rsidR="00D95591">
        <w:t xml:space="preserve"> </w:t>
      </w:r>
      <w:r w:rsidR="006A1D61" w:rsidRPr="006A1D61">
        <w:rPr>
          <w:vertAlign w:val="superscript"/>
        </w:rPr>
        <w:t>9</w:t>
      </w:r>
      <w:r w:rsidR="00D95591">
        <w:rPr>
          <w:vertAlign w:val="superscript"/>
        </w:rPr>
        <w:t>, 10</w:t>
      </w:r>
      <w:r w:rsidR="005E75E1">
        <w:t xml:space="preserve"> </w:t>
      </w:r>
    </w:p>
    <w:p w14:paraId="04822501" w14:textId="68686FA7" w:rsidR="005E75E1" w:rsidRDefault="003167BF">
      <w:pPr>
        <w:rPr>
          <w:b/>
          <w:bCs/>
        </w:rPr>
      </w:pPr>
      <w:r>
        <w:t>A few small studies suggest that genicular radiofrequency neurotomy may be effective for relief of pain</w:t>
      </w:r>
      <w:r w:rsidR="00D95591">
        <w:t xml:space="preserve">, but further research is needed to establish safety and efficacy. </w:t>
      </w:r>
      <w:r w:rsidR="00D95591">
        <w:rPr>
          <w:vertAlign w:val="superscript"/>
        </w:rPr>
        <w:t>11-15</w:t>
      </w:r>
      <w:r>
        <w:t xml:space="preserve"> </w:t>
      </w:r>
    </w:p>
    <w:p w14:paraId="0FD24599" w14:textId="77777777" w:rsidR="005E75E1" w:rsidRPr="000465DE" w:rsidRDefault="005E75E1">
      <w:pPr>
        <w:rPr>
          <w:b/>
          <w:bCs/>
        </w:rPr>
      </w:pPr>
    </w:p>
    <w:p w14:paraId="10C4B4D5" w14:textId="77777777" w:rsidR="00170B14" w:rsidRPr="00B777AF" w:rsidRDefault="00170B14" w:rsidP="00170B14">
      <w:pPr>
        <w:rPr>
          <w:b/>
        </w:rPr>
      </w:pPr>
      <w:bookmarkStart w:id="19" w:name="Coding_Implications"/>
      <w:r w:rsidRPr="00B777AF">
        <w:rPr>
          <w:b/>
        </w:rPr>
        <w:t>Coding Implications</w:t>
      </w:r>
    </w:p>
    <w:bookmarkEnd w:id="19"/>
    <w:p w14:paraId="655A1656" w14:textId="67814A2F" w:rsidR="00AF5490" w:rsidRDefault="00DD6ADB" w:rsidP="00AF5490">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w:t>
      </w:r>
      <w:r w:rsidR="00474A2E" w:rsidRPr="00507DC0">
        <w:t>201</w:t>
      </w:r>
      <w:r w:rsidR="00474A2E">
        <w:t>9</w:t>
      </w:r>
      <w:r w:rsidRPr="00507DC0">
        <w:t xml:space="preserve">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E7516C">
        <w:t xml:space="preserve"> </w:t>
      </w:r>
      <w:r w:rsidRPr="005E117C">
        <w:t>Codes</w:t>
      </w:r>
      <w:r>
        <w:t xml:space="preserve"> referenced in this c</w:t>
      </w:r>
      <w:r w:rsidRPr="005E117C">
        <w:t xml:space="preserve">linical </w:t>
      </w:r>
      <w:r>
        <w:t>p</w:t>
      </w:r>
      <w:r w:rsidRPr="005E117C">
        <w:t>olicy are for informational purposes only.  Inclusion or exclusion of any codes does not guarantee coverage.  Providers should reference the most up-to-date sources of professional coding guidance prior to the submission of claims for reimbursement of covered services.</w:t>
      </w:r>
    </w:p>
    <w:p w14:paraId="4C17BB9B" w14:textId="00AA7A13" w:rsidR="00AF5490" w:rsidRDefault="00AF5490" w:rsidP="00AF5490"/>
    <w:p w14:paraId="2719EA98" w14:textId="5C6EADF4" w:rsidR="004517AF" w:rsidRPr="0077256C" w:rsidRDefault="005B38D5" w:rsidP="00AF5490">
      <w:pPr>
        <w:rPr>
          <w:b/>
        </w:rPr>
      </w:pPr>
      <w:r>
        <w:rPr>
          <w:b/>
        </w:rPr>
        <w:t xml:space="preserve">CPT </w:t>
      </w:r>
      <w:r w:rsidR="00CA4B04">
        <w:rPr>
          <w:b/>
        </w:rPr>
        <w:t>Codes that support medical n</w:t>
      </w:r>
      <w:r w:rsidR="004517AF" w:rsidRPr="0077256C">
        <w:rPr>
          <w:b/>
        </w:rPr>
        <w:t>ecessity</w:t>
      </w:r>
    </w:p>
    <w:tbl>
      <w:tblPr>
        <w:tblStyle w:val="TableGrid"/>
        <w:tblW w:w="5099" w:type="pct"/>
        <w:tblLook w:val="0020" w:firstRow="1" w:lastRow="0" w:firstColumn="0" w:lastColumn="0" w:noHBand="0" w:noVBand="0"/>
      </w:tblPr>
      <w:tblGrid>
        <w:gridCol w:w="981"/>
        <w:gridCol w:w="8554"/>
      </w:tblGrid>
      <w:tr w:rsidR="00B777AF" w:rsidRPr="00B777AF" w14:paraId="22317C6F" w14:textId="77777777" w:rsidTr="0077256C">
        <w:trPr>
          <w:cantSplit/>
          <w:tblHeader/>
        </w:trPr>
        <w:tc>
          <w:tcPr>
            <w:tcW w:w="981" w:type="dxa"/>
            <w:shd w:val="clear" w:color="auto" w:fill="00548C"/>
          </w:tcPr>
          <w:p w14:paraId="45850565" w14:textId="70585217" w:rsidR="00D36448" w:rsidRPr="00B777AF" w:rsidRDefault="00D36448" w:rsidP="00201E36">
            <w:pPr>
              <w:rPr>
                <w:b/>
                <w:bCs/>
                <w:color w:val="FFFFFF" w:themeColor="background1"/>
              </w:rPr>
            </w:pPr>
            <w:r w:rsidRPr="00B777AF">
              <w:rPr>
                <w:b/>
                <w:color w:val="FFFFFF" w:themeColor="background1"/>
              </w:rPr>
              <w:t>CPT</w:t>
            </w:r>
            <w:r w:rsidR="005D7B81">
              <w:rPr>
                <w:b/>
                <w:color w:val="FFFFFF" w:themeColor="background1"/>
                <w:vertAlign w:val="superscript"/>
              </w:rPr>
              <w:t>®</w:t>
            </w:r>
            <w:r w:rsidRPr="00B777AF">
              <w:rPr>
                <w:b/>
                <w:color w:val="FFFFFF" w:themeColor="background1"/>
              </w:rPr>
              <w:t xml:space="preserve"> Codes </w:t>
            </w:r>
          </w:p>
        </w:tc>
        <w:tc>
          <w:tcPr>
            <w:tcW w:w="8554" w:type="dxa"/>
            <w:shd w:val="clear" w:color="auto" w:fill="00548C"/>
          </w:tcPr>
          <w:p w14:paraId="1B2CD699" w14:textId="77777777" w:rsidR="00D36448" w:rsidRPr="00B777AF" w:rsidRDefault="00D36448" w:rsidP="00201E36">
            <w:pPr>
              <w:rPr>
                <w:b/>
                <w:bCs/>
                <w:color w:val="FFFFFF" w:themeColor="background1"/>
              </w:rPr>
            </w:pPr>
            <w:r w:rsidRPr="00B777AF">
              <w:rPr>
                <w:b/>
                <w:color w:val="FFFFFF" w:themeColor="background1"/>
              </w:rPr>
              <w:t>Description</w:t>
            </w:r>
          </w:p>
        </w:tc>
      </w:tr>
      <w:tr w:rsidR="00E80FD4" w:rsidRPr="00B777AF" w14:paraId="2E9B0D85" w14:textId="77777777" w:rsidTr="0077256C">
        <w:trPr>
          <w:cantSplit/>
        </w:trPr>
        <w:tc>
          <w:tcPr>
            <w:tcW w:w="981" w:type="dxa"/>
            <w:shd w:val="clear" w:color="auto" w:fill="auto"/>
          </w:tcPr>
          <w:p w14:paraId="1D49710F" w14:textId="22DD0928" w:rsidR="00E80FD4" w:rsidRPr="00422920" w:rsidRDefault="00E80FD4" w:rsidP="00E80FD4">
            <w:pPr>
              <w:rPr>
                <w:bCs/>
              </w:rPr>
            </w:pPr>
            <w:r w:rsidRPr="00422920">
              <w:t>64405</w:t>
            </w:r>
          </w:p>
        </w:tc>
        <w:tc>
          <w:tcPr>
            <w:tcW w:w="8554" w:type="dxa"/>
            <w:shd w:val="clear" w:color="auto" w:fill="auto"/>
          </w:tcPr>
          <w:p w14:paraId="25830672" w14:textId="14B502EC" w:rsidR="00E80FD4" w:rsidRPr="00422920" w:rsidRDefault="00E80FD4" w:rsidP="00E80FD4">
            <w:pPr>
              <w:rPr>
                <w:bCs/>
              </w:rPr>
            </w:pPr>
            <w:r w:rsidRPr="00422920">
              <w:t>Injection, anesthetic agent; greater occipital nerve</w:t>
            </w:r>
          </w:p>
        </w:tc>
      </w:tr>
      <w:tr w:rsidR="00E80FD4" w:rsidRPr="00B777AF" w14:paraId="6D054317" w14:textId="77777777" w:rsidTr="0077256C">
        <w:trPr>
          <w:cantSplit/>
        </w:trPr>
        <w:tc>
          <w:tcPr>
            <w:tcW w:w="981" w:type="dxa"/>
            <w:shd w:val="clear" w:color="auto" w:fill="auto"/>
          </w:tcPr>
          <w:p w14:paraId="12400401" w14:textId="071B3754" w:rsidR="00E80FD4" w:rsidRPr="00422920" w:rsidRDefault="00E80FD4" w:rsidP="00E80FD4">
            <w:pPr>
              <w:rPr>
                <w:bCs/>
              </w:rPr>
            </w:pPr>
            <w:r w:rsidRPr="00422920">
              <w:t>64420</w:t>
            </w:r>
          </w:p>
        </w:tc>
        <w:tc>
          <w:tcPr>
            <w:tcW w:w="8554" w:type="dxa"/>
            <w:shd w:val="clear" w:color="auto" w:fill="auto"/>
          </w:tcPr>
          <w:p w14:paraId="3CE66032" w14:textId="3A26460B" w:rsidR="00E80FD4" w:rsidRPr="00422920" w:rsidRDefault="00E80FD4" w:rsidP="00E80FD4">
            <w:pPr>
              <w:rPr>
                <w:bCs/>
              </w:rPr>
            </w:pPr>
            <w:r w:rsidRPr="00422920">
              <w:t>Injection, anesthetic agent; intercostal nerve, single</w:t>
            </w:r>
          </w:p>
        </w:tc>
      </w:tr>
      <w:tr w:rsidR="00E80FD4" w:rsidRPr="00B777AF" w14:paraId="6DB0CA93" w14:textId="77777777" w:rsidTr="0077256C">
        <w:trPr>
          <w:cantSplit/>
        </w:trPr>
        <w:tc>
          <w:tcPr>
            <w:tcW w:w="981" w:type="dxa"/>
            <w:shd w:val="clear" w:color="auto" w:fill="auto"/>
          </w:tcPr>
          <w:p w14:paraId="4DD1F42A" w14:textId="43730908" w:rsidR="00E80FD4" w:rsidRPr="00422920" w:rsidRDefault="00E80FD4" w:rsidP="00E80FD4">
            <w:pPr>
              <w:rPr>
                <w:bCs/>
              </w:rPr>
            </w:pPr>
            <w:r w:rsidRPr="00422920">
              <w:t>64421</w:t>
            </w:r>
          </w:p>
        </w:tc>
        <w:tc>
          <w:tcPr>
            <w:tcW w:w="8554" w:type="dxa"/>
            <w:shd w:val="clear" w:color="auto" w:fill="auto"/>
          </w:tcPr>
          <w:p w14:paraId="0A90BD09" w14:textId="2F2E56B1" w:rsidR="00E80FD4" w:rsidRPr="00422920" w:rsidRDefault="00E80FD4" w:rsidP="00E80FD4">
            <w:pPr>
              <w:rPr>
                <w:bCs/>
              </w:rPr>
            </w:pPr>
            <w:r w:rsidRPr="00422920">
              <w:t>Injection, anesthetic agent; intercostal nerves, multiple, regional block</w:t>
            </w:r>
          </w:p>
        </w:tc>
      </w:tr>
      <w:tr w:rsidR="00E80FD4" w:rsidRPr="00B777AF" w14:paraId="5EBB0F9D" w14:textId="77777777" w:rsidTr="0077256C">
        <w:trPr>
          <w:tblHeader/>
        </w:trPr>
        <w:tc>
          <w:tcPr>
            <w:tcW w:w="981" w:type="dxa"/>
            <w:shd w:val="clear" w:color="auto" w:fill="auto"/>
          </w:tcPr>
          <w:p w14:paraId="25B9D688" w14:textId="59FBA0D8" w:rsidR="00E80FD4" w:rsidRPr="00422920" w:rsidRDefault="00E80FD4" w:rsidP="00E80FD4">
            <w:r w:rsidRPr="00422920">
              <w:t>64510</w:t>
            </w:r>
          </w:p>
        </w:tc>
        <w:tc>
          <w:tcPr>
            <w:tcW w:w="8554" w:type="dxa"/>
            <w:shd w:val="clear" w:color="auto" w:fill="auto"/>
          </w:tcPr>
          <w:p w14:paraId="6567EB4F" w14:textId="25565803" w:rsidR="00E80FD4" w:rsidRPr="00422920" w:rsidRDefault="00E80FD4" w:rsidP="00E80FD4">
            <w:r w:rsidRPr="00422920">
              <w:t>Injection, anesthetic agent; stellate ganglion (cervical sympathetic)</w:t>
            </w:r>
          </w:p>
        </w:tc>
      </w:tr>
      <w:tr w:rsidR="00E80FD4" w:rsidRPr="00B777AF" w14:paraId="1554A41A" w14:textId="77777777" w:rsidTr="0077256C">
        <w:trPr>
          <w:tblHeader/>
        </w:trPr>
        <w:tc>
          <w:tcPr>
            <w:tcW w:w="981" w:type="dxa"/>
            <w:shd w:val="clear" w:color="auto" w:fill="auto"/>
          </w:tcPr>
          <w:p w14:paraId="07AEF722" w14:textId="5B86BA58" w:rsidR="00E80FD4" w:rsidRPr="00422920" w:rsidRDefault="00E80FD4" w:rsidP="00E80FD4">
            <w:r w:rsidRPr="00422920">
              <w:t>64520</w:t>
            </w:r>
          </w:p>
        </w:tc>
        <w:tc>
          <w:tcPr>
            <w:tcW w:w="8554" w:type="dxa"/>
            <w:shd w:val="clear" w:color="auto" w:fill="auto"/>
          </w:tcPr>
          <w:p w14:paraId="5E4B99B5" w14:textId="5AA7ADB7" w:rsidR="00E80FD4" w:rsidRPr="00422920" w:rsidRDefault="00E80FD4" w:rsidP="00E80FD4">
            <w:r w:rsidRPr="00422920">
              <w:t>Injection, anesthetic agent; lumbar or thoracic (paravertebral sympathetic)</w:t>
            </w:r>
          </w:p>
        </w:tc>
      </w:tr>
      <w:tr w:rsidR="00B36AA0" w:rsidRPr="00B777AF" w14:paraId="4095EA61" w14:textId="77777777" w:rsidTr="0077256C">
        <w:trPr>
          <w:tblHeader/>
        </w:trPr>
        <w:tc>
          <w:tcPr>
            <w:tcW w:w="981" w:type="dxa"/>
            <w:shd w:val="clear" w:color="auto" w:fill="auto"/>
          </w:tcPr>
          <w:p w14:paraId="46325B90" w14:textId="282F808D" w:rsidR="00B36AA0" w:rsidRPr="00422920" w:rsidRDefault="00B36AA0" w:rsidP="00B36AA0">
            <w:r w:rsidRPr="00422920">
              <w:t>64530</w:t>
            </w:r>
          </w:p>
        </w:tc>
        <w:tc>
          <w:tcPr>
            <w:tcW w:w="8554" w:type="dxa"/>
            <w:shd w:val="clear" w:color="auto" w:fill="auto"/>
          </w:tcPr>
          <w:p w14:paraId="14EF6F84" w14:textId="4163573F" w:rsidR="00B36AA0" w:rsidRPr="00422920" w:rsidRDefault="00B36AA0" w:rsidP="00B36AA0">
            <w:r w:rsidRPr="00422920">
              <w:t>Injection, anesthetic agent; celiac plexus, with or without radiologic monitoring</w:t>
            </w:r>
          </w:p>
        </w:tc>
      </w:tr>
      <w:tr w:rsidR="005B38D5" w:rsidRPr="00B777AF" w14:paraId="407592FE" w14:textId="77777777" w:rsidTr="0077256C">
        <w:trPr>
          <w:tblHeader/>
        </w:trPr>
        <w:tc>
          <w:tcPr>
            <w:tcW w:w="981" w:type="dxa"/>
            <w:shd w:val="clear" w:color="auto" w:fill="auto"/>
          </w:tcPr>
          <w:p w14:paraId="1375A4DC" w14:textId="71188605" w:rsidR="005B38D5" w:rsidRPr="004A7456" w:rsidRDefault="005B38D5" w:rsidP="00B36AA0">
            <w:r>
              <w:t>64620</w:t>
            </w:r>
          </w:p>
        </w:tc>
        <w:tc>
          <w:tcPr>
            <w:tcW w:w="8554" w:type="dxa"/>
            <w:shd w:val="clear" w:color="auto" w:fill="auto"/>
          </w:tcPr>
          <w:p w14:paraId="2342459E" w14:textId="289B30E4" w:rsidR="005B38D5" w:rsidRPr="004A7456" w:rsidRDefault="005B38D5" w:rsidP="00B36AA0">
            <w:r w:rsidRPr="005B38D5">
              <w:t>Destruction by neurolytic agent, intercostal nerve</w:t>
            </w:r>
          </w:p>
        </w:tc>
      </w:tr>
      <w:tr w:rsidR="00B36AA0" w:rsidRPr="00B777AF" w14:paraId="7B51681F" w14:textId="77777777" w:rsidTr="0077256C">
        <w:trPr>
          <w:tblHeader/>
        </w:trPr>
        <w:tc>
          <w:tcPr>
            <w:tcW w:w="981" w:type="dxa"/>
            <w:shd w:val="clear" w:color="auto" w:fill="auto"/>
          </w:tcPr>
          <w:p w14:paraId="26B08BD3" w14:textId="3F79EA13" w:rsidR="00B36AA0" w:rsidRPr="00535A74" w:rsidRDefault="00B36AA0" w:rsidP="00B36AA0">
            <w:r w:rsidRPr="00535A74">
              <w:t>64680</w:t>
            </w:r>
          </w:p>
        </w:tc>
        <w:tc>
          <w:tcPr>
            <w:tcW w:w="8554" w:type="dxa"/>
            <w:shd w:val="clear" w:color="auto" w:fill="auto"/>
          </w:tcPr>
          <w:p w14:paraId="5DF0D612" w14:textId="4315ABAD" w:rsidR="00B36AA0" w:rsidRPr="00535A74" w:rsidRDefault="00B36AA0" w:rsidP="00B36AA0">
            <w:r w:rsidRPr="00535A74">
              <w:t>Destruction by neurolytic agent, with or without radiologic monitoring; celiac plexus</w:t>
            </w:r>
          </w:p>
        </w:tc>
      </w:tr>
    </w:tbl>
    <w:p w14:paraId="5C5B06C4" w14:textId="08B7EF65" w:rsidR="00E80FD4" w:rsidRDefault="00E80FD4" w:rsidP="00AF5490"/>
    <w:p w14:paraId="17625651" w14:textId="3071BA8D" w:rsidR="005B38D5" w:rsidRPr="00C72A96" w:rsidRDefault="005B38D5" w:rsidP="005B38D5">
      <w:pPr>
        <w:rPr>
          <w:b/>
        </w:rPr>
      </w:pPr>
      <w:r>
        <w:rPr>
          <w:b/>
        </w:rPr>
        <w:t xml:space="preserve">CPT </w:t>
      </w:r>
      <w:r w:rsidRPr="00C72A96">
        <w:rPr>
          <w:b/>
        </w:rPr>
        <w:t xml:space="preserve">Codes that </w:t>
      </w:r>
      <w:r>
        <w:rPr>
          <w:b/>
        </w:rPr>
        <w:t xml:space="preserve">DO NOT </w:t>
      </w:r>
      <w:r w:rsidR="00CA4B04">
        <w:rPr>
          <w:b/>
        </w:rPr>
        <w:t>support medical n</w:t>
      </w:r>
      <w:r w:rsidRPr="00C72A96">
        <w:rPr>
          <w:b/>
        </w:rPr>
        <w:t>ecessity</w:t>
      </w:r>
    </w:p>
    <w:tbl>
      <w:tblPr>
        <w:tblStyle w:val="TableGrid"/>
        <w:tblW w:w="5099" w:type="pct"/>
        <w:tblLook w:val="0020" w:firstRow="1" w:lastRow="0" w:firstColumn="0" w:lastColumn="0" w:noHBand="0" w:noVBand="0"/>
      </w:tblPr>
      <w:tblGrid>
        <w:gridCol w:w="981"/>
        <w:gridCol w:w="8554"/>
      </w:tblGrid>
      <w:tr w:rsidR="005B38D5" w:rsidRPr="00B777AF" w14:paraId="01DBD9A2" w14:textId="77777777" w:rsidTr="0077256C">
        <w:trPr>
          <w:cantSplit/>
          <w:tblHeader/>
        </w:trPr>
        <w:tc>
          <w:tcPr>
            <w:tcW w:w="981" w:type="dxa"/>
            <w:shd w:val="clear" w:color="auto" w:fill="00548C"/>
          </w:tcPr>
          <w:p w14:paraId="32962516" w14:textId="77777777" w:rsidR="005B38D5" w:rsidRPr="00B777AF" w:rsidRDefault="005B38D5" w:rsidP="00C72A96">
            <w:pPr>
              <w:rPr>
                <w:b/>
                <w:bCs/>
                <w:color w:val="FFFFFF" w:themeColor="background1"/>
              </w:rPr>
            </w:pPr>
            <w:r w:rsidRPr="00B777AF">
              <w:rPr>
                <w:b/>
                <w:color w:val="FFFFFF" w:themeColor="background1"/>
              </w:rPr>
              <w:t>CPT</w:t>
            </w:r>
            <w:r>
              <w:rPr>
                <w:b/>
                <w:color w:val="FFFFFF" w:themeColor="background1"/>
                <w:vertAlign w:val="superscript"/>
              </w:rPr>
              <w:t>®</w:t>
            </w:r>
            <w:r w:rsidRPr="00B777AF">
              <w:rPr>
                <w:b/>
                <w:color w:val="FFFFFF" w:themeColor="background1"/>
              </w:rPr>
              <w:t xml:space="preserve"> Codes </w:t>
            </w:r>
          </w:p>
        </w:tc>
        <w:tc>
          <w:tcPr>
            <w:tcW w:w="8554" w:type="dxa"/>
            <w:shd w:val="clear" w:color="auto" w:fill="00548C"/>
          </w:tcPr>
          <w:p w14:paraId="451997A8" w14:textId="77777777" w:rsidR="005B38D5" w:rsidRPr="00B777AF" w:rsidRDefault="005B38D5" w:rsidP="00C72A96">
            <w:pPr>
              <w:rPr>
                <w:b/>
                <w:bCs/>
                <w:color w:val="FFFFFF" w:themeColor="background1"/>
              </w:rPr>
            </w:pPr>
            <w:r w:rsidRPr="00B777AF">
              <w:rPr>
                <w:b/>
                <w:color w:val="FFFFFF" w:themeColor="background1"/>
              </w:rPr>
              <w:t>Description</w:t>
            </w:r>
          </w:p>
        </w:tc>
      </w:tr>
      <w:tr w:rsidR="005B38D5" w:rsidRPr="00B777AF" w14:paraId="5BF17DA7" w14:textId="77777777" w:rsidTr="0077256C">
        <w:trPr>
          <w:cantSplit/>
        </w:trPr>
        <w:tc>
          <w:tcPr>
            <w:tcW w:w="981" w:type="dxa"/>
            <w:shd w:val="clear" w:color="auto" w:fill="auto"/>
          </w:tcPr>
          <w:p w14:paraId="6A38C7E8" w14:textId="77777777" w:rsidR="005B38D5" w:rsidRPr="004A7456" w:rsidRDefault="005B38D5" w:rsidP="00C72A96">
            <w:pPr>
              <w:rPr>
                <w:bCs/>
              </w:rPr>
            </w:pPr>
            <w:r w:rsidRPr="004A7456">
              <w:t>64400</w:t>
            </w:r>
          </w:p>
        </w:tc>
        <w:tc>
          <w:tcPr>
            <w:tcW w:w="8554" w:type="dxa"/>
            <w:shd w:val="clear" w:color="auto" w:fill="auto"/>
          </w:tcPr>
          <w:p w14:paraId="1F5A07FF" w14:textId="77777777" w:rsidR="005B38D5" w:rsidRPr="004A7456" w:rsidRDefault="005B38D5" w:rsidP="00C72A96">
            <w:pPr>
              <w:rPr>
                <w:bCs/>
              </w:rPr>
            </w:pPr>
            <w:r w:rsidRPr="004A7456">
              <w:t>Injection, anesthetic agent; trigeminal nerve, any division or branch</w:t>
            </w:r>
          </w:p>
        </w:tc>
      </w:tr>
      <w:tr w:rsidR="005B38D5" w:rsidRPr="00B777AF" w14:paraId="2045E449" w14:textId="77777777" w:rsidTr="0077256C">
        <w:trPr>
          <w:cantSplit/>
        </w:trPr>
        <w:tc>
          <w:tcPr>
            <w:tcW w:w="981" w:type="dxa"/>
            <w:shd w:val="clear" w:color="auto" w:fill="auto"/>
          </w:tcPr>
          <w:p w14:paraId="5A6E5C76" w14:textId="77777777" w:rsidR="005B38D5" w:rsidRPr="004A7456" w:rsidRDefault="005B38D5" w:rsidP="00C72A96">
            <w:pPr>
              <w:rPr>
                <w:bCs/>
              </w:rPr>
            </w:pPr>
            <w:r w:rsidRPr="004A7456">
              <w:t>64402</w:t>
            </w:r>
          </w:p>
        </w:tc>
        <w:tc>
          <w:tcPr>
            <w:tcW w:w="8554" w:type="dxa"/>
            <w:shd w:val="clear" w:color="auto" w:fill="auto"/>
          </w:tcPr>
          <w:p w14:paraId="56DE112E" w14:textId="77777777" w:rsidR="005B38D5" w:rsidRPr="004A7456" w:rsidRDefault="005B38D5" w:rsidP="00C72A96">
            <w:pPr>
              <w:rPr>
                <w:bCs/>
              </w:rPr>
            </w:pPr>
            <w:r w:rsidRPr="004A7456">
              <w:t>Injection, anesthetic agent; facial nerve</w:t>
            </w:r>
          </w:p>
        </w:tc>
      </w:tr>
      <w:tr w:rsidR="005B38D5" w:rsidRPr="00B777AF" w14:paraId="55C304DE" w14:textId="77777777" w:rsidTr="0077256C">
        <w:trPr>
          <w:cantSplit/>
        </w:trPr>
        <w:tc>
          <w:tcPr>
            <w:tcW w:w="981" w:type="dxa"/>
            <w:shd w:val="clear" w:color="auto" w:fill="auto"/>
          </w:tcPr>
          <w:p w14:paraId="0CAD87FF" w14:textId="60C8E5E5" w:rsidR="005B38D5" w:rsidRPr="004A7456" w:rsidRDefault="005B38D5" w:rsidP="005B38D5">
            <w:r w:rsidRPr="009F6A93">
              <w:t>64408</w:t>
            </w:r>
          </w:p>
        </w:tc>
        <w:tc>
          <w:tcPr>
            <w:tcW w:w="8554" w:type="dxa"/>
            <w:shd w:val="clear" w:color="auto" w:fill="auto"/>
          </w:tcPr>
          <w:p w14:paraId="7846F8C8" w14:textId="16286C25" w:rsidR="005B38D5" w:rsidRPr="004A7456" w:rsidRDefault="005B38D5" w:rsidP="005B38D5">
            <w:r w:rsidRPr="009F6A93">
              <w:t>Injection, anesthetic agent; vagus nerve</w:t>
            </w:r>
          </w:p>
        </w:tc>
      </w:tr>
      <w:tr w:rsidR="005B38D5" w:rsidRPr="00B777AF" w14:paraId="6598DFBC" w14:textId="77777777" w:rsidTr="0077256C">
        <w:trPr>
          <w:cantSplit/>
        </w:trPr>
        <w:tc>
          <w:tcPr>
            <w:tcW w:w="981" w:type="dxa"/>
            <w:shd w:val="clear" w:color="auto" w:fill="auto"/>
          </w:tcPr>
          <w:p w14:paraId="2C598DF2" w14:textId="27C974C6" w:rsidR="005B38D5" w:rsidRPr="004A7456" w:rsidRDefault="005B38D5" w:rsidP="005B38D5">
            <w:r w:rsidRPr="009F6A93">
              <w:t>64410</w:t>
            </w:r>
          </w:p>
        </w:tc>
        <w:tc>
          <w:tcPr>
            <w:tcW w:w="8554" w:type="dxa"/>
            <w:shd w:val="clear" w:color="auto" w:fill="auto"/>
          </w:tcPr>
          <w:p w14:paraId="02A741ED" w14:textId="7691A5A5" w:rsidR="005B38D5" w:rsidRPr="004A7456" w:rsidRDefault="005B38D5" w:rsidP="005B38D5">
            <w:r w:rsidRPr="009F6A93">
              <w:t>Injection, anesthetic agent; phrenic nerve</w:t>
            </w:r>
          </w:p>
        </w:tc>
      </w:tr>
      <w:tr w:rsidR="005B38D5" w:rsidRPr="00B777AF" w14:paraId="05793118" w14:textId="77777777" w:rsidTr="0077256C">
        <w:trPr>
          <w:cantSplit/>
        </w:trPr>
        <w:tc>
          <w:tcPr>
            <w:tcW w:w="981" w:type="dxa"/>
            <w:shd w:val="clear" w:color="auto" w:fill="auto"/>
          </w:tcPr>
          <w:p w14:paraId="0F6708F8" w14:textId="619EAA42" w:rsidR="005B38D5" w:rsidRPr="004A7456" w:rsidRDefault="005B38D5" w:rsidP="005B38D5">
            <w:r w:rsidRPr="000D37A4">
              <w:t>64413</w:t>
            </w:r>
          </w:p>
        </w:tc>
        <w:tc>
          <w:tcPr>
            <w:tcW w:w="8554" w:type="dxa"/>
            <w:shd w:val="clear" w:color="auto" w:fill="auto"/>
          </w:tcPr>
          <w:p w14:paraId="7ECFD05B" w14:textId="1EF68F1A" w:rsidR="005B38D5" w:rsidRPr="004A7456" w:rsidRDefault="005B38D5" w:rsidP="005B38D5">
            <w:r w:rsidRPr="000D37A4">
              <w:t>Injection, anesthetic agent; cervical plexus</w:t>
            </w:r>
          </w:p>
        </w:tc>
      </w:tr>
      <w:tr w:rsidR="005B38D5" w:rsidRPr="00B777AF" w14:paraId="54BC60F7" w14:textId="77777777" w:rsidTr="0077256C">
        <w:trPr>
          <w:cantSplit/>
        </w:trPr>
        <w:tc>
          <w:tcPr>
            <w:tcW w:w="981" w:type="dxa"/>
            <w:shd w:val="clear" w:color="auto" w:fill="auto"/>
          </w:tcPr>
          <w:p w14:paraId="70D2138B" w14:textId="73DCAC36" w:rsidR="005B38D5" w:rsidRPr="004A7456" w:rsidRDefault="005B38D5" w:rsidP="005B38D5">
            <w:r w:rsidRPr="000D37A4">
              <w:t>64415</w:t>
            </w:r>
          </w:p>
        </w:tc>
        <w:tc>
          <w:tcPr>
            <w:tcW w:w="8554" w:type="dxa"/>
            <w:shd w:val="clear" w:color="auto" w:fill="auto"/>
          </w:tcPr>
          <w:p w14:paraId="4644B40E" w14:textId="73C796AA" w:rsidR="005B38D5" w:rsidRPr="004A7456" w:rsidRDefault="005B38D5" w:rsidP="005B38D5">
            <w:r w:rsidRPr="000D37A4">
              <w:t>Injection, anesthetic agent; brachial plexus, single</w:t>
            </w:r>
          </w:p>
        </w:tc>
      </w:tr>
      <w:tr w:rsidR="005B38D5" w:rsidRPr="00B777AF" w14:paraId="52399D50" w14:textId="77777777" w:rsidTr="0077256C">
        <w:trPr>
          <w:cantSplit/>
        </w:trPr>
        <w:tc>
          <w:tcPr>
            <w:tcW w:w="981" w:type="dxa"/>
            <w:shd w:val="clear" w:color="auto" w:fill="auto"/>
          </w:tcPr>
          <w:p w14:paraId="44CBF068" w14:textId="4AEBEC1F" w:rsidR="005B38D5" w:rsidRPr="004A7456" w:rsidRDefault="005B38D5" w:rsidP="005B38D5">
            <w:r w:rsidRPr="000D37A4">
              <w:t>64417</w:t>
            </w:r>
          </w:p>
        </w:tc>
        <w:tc>
          <w:tcPr>
            <w:tcW w:w="8554" w:type="dxa"/>
            <w:shd w:val="clear" w:color="auto" w:fill="auto"/>
          </w:tcPr>
          <w:p w14:paraId="5ED2A610" w14:textId="57CE3E8C" w:rsidR="005B38D5" w:rsidRPr="004A7456" w:rsidRDefault="005B38D5" w:rsidP="005B38D5">
            <w:r w:rsidRPr="000D37A4">
              <w:t>Injection, anesthetic agent; axillary nerve</w:t>
            </w:r>
          </w:p>
        </w:tc>
      </w:tr>
      <w:tr w:rsidR="005B38D5" w:rsidRPr="00B777AF" w14:paraId="1512BBAB" w14:textId="77777777" w:rsidTr="0077256C">
        <w:trPr>
          <w:cantSplit/>
        </w:trPr>
        <w:tc>
          <w:tcPr>
            <w:tcW w:w="981" w:type="dxa"/>
            <w:shd w:val="clear" w:color="auto" w:fill="auto"/>
          </w:tcPr>
          <w:p w14:paraId="00B400AA" w14:textId="1E42602C" w:rsidR="005B38D5" w:rsidRPr="004A7456" w:rsidRDefault="005B38D5" w:rsidP="005B38D5">
            <w:r w:rsidRPr="000D37A4">
              <w:t>64418</w:t>
            </w:r>
          </w:p>
        </w:tc>
        <w:tc>
          <w:tcPr>
            <w:tcW w:w="8554" w:type="dxa"/>
            <w:shd w:val="clear" w:color="auto" w:fill="auto"/>
          </w:tcPr>
          <w:p w14:paraId="148A34A8" w14:textId="73702D41" w:rsidR="005B38D5" w:rsidRPr="004A7456" w:rsidRDefault="005B38D5" w:rsidP="005B38D5">
            <w:r w:rsidRPr="000D37A4">
              <w:t>Injection, anesthetic agent; suprascapular nerve</w:t>
            </w:r>
          </w:p>
        </w:tc>
      </w:tr>
      <w:tr w:rsidR="005B38D5" w:rsidRPr="00B777AF" w14:paraId="7434730E" w14:textId="77777777" w:rsidTr="0077256C">
        <w:trPr>
          <w:cantSplit/>
        </w:trPr>
        <w:tc>
          <w:tcPr>
            <w:tcW w:w="981" w:type="dxa"/>
            <w:shd w:val="clear" w:color="auto" w:fill="auto"/>
          </w:tcPr>
          <w:p w14:paraId="685C0ED4" w14:textId="1E0FC4B9" w:rsidR="005B38D5" w:rsidRPr="004A7456" w:rsidRDefault="005B38D5" w:rsidP="005B38D5">
            <w:r w:rsidRPr="00C31AC5">
              <w:t>64425</w:t>
            </w:r>
          </w:p>
        </w:tc>
        <w:tc>
          <w:tcPr>
            <w:tcW w:w="8554" w:type="dxa"/>
            <w:shd w:val="clear" w:color="auto" w:fill="auto"/>
          </w:tcPr>
          <w:p w14:paraId="2EB1C08B" w14:textId="5DFAA88C" w:rsidR="005B38D5" w:rsidRPr="004A7456" w:rsidRDefault="005B38D5" w:rsidP="005B38D5">
            <w:r w:rsidRPr="00C31AC5">
              <w:t>Injection, anesthetic agent; ilioinguinal, iliohypogastric nerves</w:t>
            </w:r>
          </w:p>
        </w:tc>
      </w:tr>
      <w:tr w:rsidR="005B38D5" w:rsidRPr="00B777AF" w14:paraId="53E96B5A" w14:textId="77777777" w:rsidTr="0077256C">
        <w:trPr>
          <w:cantSplit/>
        </w:trPr>
        <w:tc>
          <w:tcPr>
            <w:tcW w:w="981" w:type="dxa"/>
            <w:shd w:val="clear" w:color="auto" w:fill="auto"/>
          </w:tcPr>
          <w:p w14:paraId="099F86A5" w14:textId="7420FDAA" w:rsidR="005B38D5" w:rsidRPr="004A7456" w:rsidRDefault="005B38D5" w:rsidP="005B38D5">
            <w:r w:rsidRPr="00C31AC5">
              <w:t>64430</w:t>
            </w:r>
          </w:p>
        </w:tc>
        <w:tc>
          <w:tcPr>
            <w:tcW w:w="8554" w:type="dxa"/>
            <w:shd w:val="clear" w:color="auto" w:fill="auto"/>
          </w:tcPr>
          <w:p w14:paraId="47FD1A5E" w14:textId="30B057CC" w:rsidR="005B38D5" w:rsidRPr="004A7456" w:rsidRDefault="005B38D5" w:rsidP="005B38D5">
            <w:r w:rsidRPr="00C31AC5">
              <w:t>Injection, anesthetic agent; pudendal nerve</w:t>
            </w:r>
          </w:p>
        </w:tc>
      </w:tr>
      <w:tr w:rsidR="005B38D5" w:rsidRPr="00B777AF" w14:paraId="36689888" w14:textId="77777777" w:rsidTr="0077256C">
        <w:trPr>
          <w:cantSplit/>
        </w:trPr>
        <w:tc>
          <w:tcPr>
            <w:tcW w:w="981" w:type="dxa"/>
            <w:shd w:val="clear" w:color="auto" w:fill="auto"/>
          </w:tcPr>
          <w:p w14:paraId="063A2C90" w14:textId="7824FC75" w:rsidR="005B38D5" w:rsidRPr="004A7456" w:rsidRDefault="005B38D5" w:rsidP="005B38D5">
            <w:r w:rsidRPr="00C31AC5">
              <w:t>64435</w:t>
            </w:r>
          </w:p>
        </w:tc>
        <w:tc>
          <w:tcPr>
            <w:tcW w:w="8554" w:type="dxa"/>
            <w:shd w:val="clear" w:color="auto" w:fill="auto"/>
          </w:tcPr>
          <w:p w14:paraId="00CC3DB9" w14:textId="3DF5FC0E" w:rsidR="005B38D5" w:rsidRPr="004A7456" w:rsidRDefault="005B38D5" w:rsidP="005B38D5">
            <w:r w:rsidRPr="00C31AC5">
              <w:t>Injection, anesthetic agent; paracervical (uterine) nerve</w:t>
            </w:r>
          </w:p>
        </w:tc>
      </w:tr>
      <w:tr w:rsidR="005B38D5" w:rsidRPr="00B777AF" w14:paraId="49EB4D34" w14:textId="77777777" w:rsidTr="0077256C">
        <w:trPr>
          <w:cantSplit/>
        </w:trPr>
        <w:tc>
          <w:tcPr>
            <w:tcW w:w="981" w:type="dxa"/>
            <w:shd w:val="clear" w:color="auto" w:fill="auto"/>
          </w:tcPr>
          <w:p w14:paraId="4723C041" w14:textId="20D38020" w:rsidR="005B38D5" w:rsidRPr="004A7456" w:rsidRDefault="005B38D5" w:rsidP="005B38D5">
            <w:r w:rsidRPr="00C31AC5">
              <w:t>64445</w:t>
            </w:r>
          </w:p>
        </w:tc>
        <w:tc>
          <w:tcPr>
            <w:tcW w:w="8554" w:type="dxa"/>
            <w:shd w:val="clear" w:color="auto" w:fill="auto"/>
          </w:tcPr>
          <w:p w14:paraId="419345D8" w14:textId="6CE719B3" w:rsidR="005B38D5" w:rsidRPr="004A7456" w:rsidRDefault="005B38D5" w:rsidP="005B38D5">
            <w:r w:rsidRPr="00C31AC5">
              <w:t>Injection, anesthetic agent; sciatic nerve, single</w:t>
            </w:r>
          </w:p>
        </w:tc>
      </w:tr>
      <w:tr w:rsidR="005B38D5" w:rsidRPr="00B777AF" w14:paraId="505F6F70" w14:textId="77777777" w:rsidTr="0077256C">
        <w:trPr>
          <w:cantSplit/>
        </w:trPr>
        <w:tc>
          <w:tcPr>
            <w:tcW w:w="981" w:type="dxa"/>
            <w:shd w:val="clear" w:color="auto" w:fill="auto"/>
          </w:tcPr>
          <w:p w14:paraId="36DA8B3C" w14:textId="78D1CC34" w:rsidR="005B38D5" w:rsidRPr="004A7456" w:rsidRDefault="005B38D5" w:rsidP="005B38D5">
            <w:r w:rsidRPr="00C31AC5">
              <w:t>64447</w:t>
            </w:r>
          </w:p>
        </w:tc>
        <w:tc>
          <w:tcPr>
            <w:tcW w:w="8554" w:type="dxa"/>
            <w:shd w:val="clear" w:color="auto" w:fill="auto"/>
          </w:tcPr>
          <w:p w14:paraId="791C5E6D" w14:textId="2393E18D" w:rsidR="005B38D5" w:rsidRPr="004A7456" w:rsidRDefault="005B38D5" w:rsidP="005B38D5">
            <w:r w:rsidRPr="00C31AC5">
              <w:t>Injection, anesthetic agent; femoral nerve, single</w:t>
            </w:r>
          </w:p>
        </w:tc>
      </w:tr>
      <w:tr w:rsidR="005B38D5" w:rsidRPr="00B777AF" w14:paraId="367DF2BD" w14:textId="77777777" w:rsidTr="0077256C">
        <w:trPr>
          <w:cantSplit/>
        </w:trPr>
        <w:tc>
          <w:tcPr>
            <w:tcW w:w="981" w:type="dxa"/>
            <w:shd w:val="clear" w:color="auto" w:fill="auto"/>
          </w:tcPr>
          <w:p w14:paraId="15793986" w14:textId="7B409F08" w:rsidR="005B38D5" w:rsidRPr="004A7456" w:rsidRDefault="005B38D5" w:rsidP="005B38D5">
            <w:r w:rsidRPr="00C31AC5">
              <w:t>64450</w:t>
            </w:r>
          </w:p>
        </w:tc>
        <w:tc>
          <w:tcPr>
            <w:tcW w:w="8554" w:type="dxa"/>
            <w:shd w:val="clear" w:color="auto" w:fill="auto"/>
          </w:tcPr>
          <w:p w14:paraId="66A080E6" w14:textId="7921FAAD" w:rsidR="005B38D5" w:rsidRPr="004A7456" w:rsidRDefault="005B38D5" w:rsidP="005B38D5">
            <w:r w:rsidRPr="00C31AC5">
              <w:t>Injection, anesthetic agent; other peripheral nerve or branch</w:t>
            </w:r>
          </w:p>
        </w:tc>
      </w:tr>
      <w:tr w:rsidR="005B38D5" w:rsidRPr="00B777AF" w14:paraId="56ACEEA7" w14:textId="77777777" w:rsidTr="0077256C">
        <w:trPr>
          <w:cantSplit/>
        </w:trPr>
        <w:tc>
          <w:tcPr>
            <w:tcW w:w="981" w:type="dxa"/>
            <w:shd w:val="clear" w:color="auto" w:fill="auto"/>
          </w:tcPr>
          <w:p w14:paraId="0E109A3B" w14:textId="279AB9F5" w:rsidR="005B38D5" w:rsidRPr="004A7456" w:rsidRDefault="005B38D5" w:rsidP="005B38D5">
            <w:r w:rsidRPr="00C31AC5">
              <w:t>64505</w:t>
            </w:r>
          </w:p>
        </w:tc>
        <w:tc>
          <w:tcPr>
            <w:tcW w:w="8554" w:type="dxa"/>
            <w:shd w:val="clear" w:color="auto" w:fill="auto"/>
          </w:tcPr>
          <w:p w14:paraId="2DF9793D" w14:textId="75DCB043" w:rsidR="005B38D5" w:rsidRPr="004A7456" w:rsidRDefault="005B38D5" w:rsidP="005B38D5">
            <w:r w:rsidRPr="00C31AC5">
              <w:t>Injection, anesthetic agent; sphenopalatine ganglion</w:t>
            </w:r>
          </w:p>
        </w:tc>
      </w:tr>
      <w:tr w:rsidR="005B38D5" w:rsidRPr="00B777AF" w14:paraId="5C5BA449" w14:textId="77777777" w:rsidTr="0077256C">
        <w:trPr>
          <w:cantSplit/>
        </w:trPr>
        <w:tc>
          <w:tcPr>
            <w:tcW w:w="981" w:type="dxa"/>
            <w:shd w:val="clear" w:color="auto" w:fill="auto"/>
          </w:tcPr>
          <w:p w14:paraId="0AB3CFF3" w14:textId="5F3AA03F" w:rsidR="005B38D5" w:rsidRPr="004A7456" w:rsidRDefault="005B38D5" w:rsidP="005B38D5">
            <w:r w:rsidRPr="008F29C3">
              <w:t>64517</w:t>
            </w:r>
          </w:p>
        </w:tc>
        <w:tc>
          <w:tcPr>
            <w:tcW w:w="8554" w:type="dxa"/>
            <w:shd w:val="clear" w:color="auto" w:fill="auto"/>
          </w:tcPr>
          <w:p w14:paraId="2F3D43B8" w14:textId="67226AA6" w:rsidR="005B38D5" w:rsidRPr="004A7456" w:rsidRDefault="005B38D5" w:rsidP="005B38D5">
            <w:r w:rsidRPr="008F29C3">
              <w:t>Injection, anesthetic agent; superior hypogastric plexus</w:t>
            </w:r>
          </w:p>
        </w:tc>
      </w:tr>
      <w:tr w:rsidR="005B38D5" w:rsidRPr="00B777AF" w14:paraId="694FAEFF" w14:textId="77777777" w:rsidTr="0077256C">
        <w:trPr>
          <w:cantSplit/>
        </w:trPr>
        <w:tc>
          <w:tcPr>
            <w:tcW w:w="981" w:type="dxa"/>
            <w:shd w:val="clear" w:color="auto" w:fill="auto"/>
          </w:tcPr>
          <w:p w14:paraId="1BAFE51C" w14:textId="4D6E7207" w:rsidR="005B38D5" w:rsidRPr="004A7456" w:rsidRDefault="005B38D5" w:rsidP="005B38D5">
            <w:r w:rsidRPr="00394B67">
              <w:t>64640</w:t>
            </w:r>
          </w:p>
        </w:tc>
        <w:tc>
          <w:tcPr>
            <w:tcW w:w="8554" w:type="dxa"/>
            <w:shd w:val="clear" w:color="auto" w:fill="auto"/>
          </w:tcPr>
          <w:p w14:paraId="45F529C1" w14:textId="21195BD9" w:rsidR="005B38D5" w:rsidRPr="004A7456" w:rsidRDefault="005B38D5" w:rsidP="005B38D5">
            <w:r w:rsidRPr="00394B67">
              <w:t>Destruction by neurolytic agent; other peripheral nerve or branch</w:t>
            </w:r>
          </w:p>
        </w:tc>
      </w:tr>
    </w:tbl>
    <w:p w14:paraId="4D4DB83E" w14:textId="77777777" w:rsidR="005B38D5" w:rsidRDefault="005B38D5" w:rsidP="00AF5490"/>
    <w:tbl>
      <w:tblPr>
        <w:tblStyle w:val="TableGrid"/>
        <w:tblW w:w="5147" w:type="pct"/>
        <w:tblLook w:val="0020" w:firstRow="1" w:lastRow="0" w:firstColumn="0" w:lastColumn="0" w:noHBand="0" w:noVBand="0"/>
      </w:tblPr>
      <w:tblGrid>
        <w:gridCol w:w="1122"/>
        <w:gridCol w:w="8503"/>
      </w:tblGrid>
      <w:tr w:rsidR="003F3D44" w:rsidRPr="00B777AF" w14:paraId="6AF74031" w14:textId="77777777" w:rsidTr="0077256C">
        <w:trPr>
          <w:tblHeader/>
        </w:trPr>
        <w:tc>
          <w:tcPr>
            <w:tcW w:w="1122" w:type="dxa"/>
            <w:shd w:val="clear" w:color="auto" w:fill="00548C"/>
          </w:tcPr>
          <w:p w14:paraId="0B5248D3" w14:textId="77777777" w:rsidR="003F3D44" w:rsidRPr="00135837" w:rsidRDefault="003F3D44" w:rsidP="00201E36">
            <w:pPr>
              <w:rPr>
                <w:b/>
                <w:color w:val="FFFFFF"/>
              </w:rPr>
            </w:pPr>
            <w:r w:rsidRPr="00135837">
              <w:rPr>
                <w:b/>
                <w:color w:val="FFFFFF"/>
              </w:rPr>
              <w:t xml:space="preserve">HCPCS Codes </w:t>
            </w:r>
          </w:p>
        </w:tc>
        <w:tc>
          <w:tcPr>
            <w:tcW w:w="8503" w:type="dxa"/>
            <w:shd w:val="clear" w:color="auto" w:fill="00548C"/>
          </w:tcPr>
          <w:p w14:paraId="6EC08690" w14:textId="77777777" w:rsidR="003F3D44" w:rsidRPr="00135837" w:rsidRDefault="003F3D44" w:rsidP="00201E36">
            <w:pPr>
              <w:rPr>
                <w:b/>
                <w:color w:val="FFFFFF"/>
              </w:rPr>
            </w:pPr>
            <w:r w:rsidRPr="00135837">
              <w:rPr>
                <w:b/>
                <w:color w:val="FFFFFF"/>
              </w:rPr>
              <w:t>Description</w:t>
            </w:r>
          </w:p>
        </w:tc>
      </w:tr>
      <w:tr w:rsidR="003F3D44" w:rsidRPr="005144C0" w14:paraId="3589D1C4" w14:textId="77777777" w:rsidTr="0077256C">
        <w:tc>
          <w:tcPr>
            <w:tcW w:w="1122" w:type="dxa"/>
          </w:tcPr>
          <w:p w14:paraId="2A6677A3" w14:textId="77777777" w:rsidR="003F3D44" w:rsidRPr="005144C0" w:rsidRDefault="00D95591" w:rsidP="00201E36">
            <w:pPr>
              <w:rPr>
                <w:bCs/>
              </w:rPr>
            </w:pPr>
            <w:r>
              <w:rPr>
                <w:bCs/>
              </w:rPr>
              <w:t>N/A</w:t>
            </w:r>
          </w:p>
        </w:tc>
        <w:tc>
          <w:tcPr>
            <w:tcW w:w="8503" w:type="dxa"/>
          </w:tcPr>
          <w:p w14:paraId="380867FB" w14:textId="77777777" w:rsidR="003F3D44" w:rsidRPr="005144C0" w:rsidRDefault="003F3D44" w:rsidP="00201E36">
            <w:pPr>
              <w:rPr>
                <w:bCs/>
              </w:rPr>
            </w:pPr>
          </w:p>
        </w:tc>
      </w:tr>
    </w:tbl>
    <w:p w14:paraId="03410DEB" w14:textId="77777777" w:rsidR="003F3D44" w:rsidRDefault="003F3D44" w:rsidP="00AF5490"/>
    <w:p w14:paraId="71BFAF4F" w14:textId="77777777" w:rsidR="00350F22" w:rsidRDefault="00350F22" w:rsidP="00AF5490">
      <w:pPr>
        <w:rPr>
          <w:b/>
        </w:rPr>
      </w:pPr>
      <w:r w:rsidRPr="00350F22">
        <w:rPr>
          <w:b/>
        </w:rPr>
        <w:t>ICD-10-CM Diagnosis Codes that Support Coverage Criteria</w:t>
      </w:r>
    </w:p>
    <w:p w14:paraId="61B559B8" w14:textId="77777777" w:rsidR="004C7108" w:rsidRPr="004C7108" w:rsidRDefault="004C7108" w:rsidP="00AF5490">
      <w:r w:rsidRPr="004C7108">
        <w:t>+ Indicates a code requiring an additional character</w:t>
      </w:r>
    </w:p>
    <w:tbl>
      <w:tblPr>
        <w:tblStyle w:val="TableGrid"/>
        <w:tblW w:w="5147" w:type="pct"/>
        <w:tblLook w:val="0020" w:firstRow="1" w:lastRow="0" w:firstColumn="0" w:lastColumn="0" w:noHBand="0" w:noVBand="0"/>
      </w:tblPr>
      <w:tblGrid>
        <w:gridCol w:w="2034"/>
        <w:gridCol w:w="7591"/>
      </w:tblGrid>
      <w:tr w:rsidR="00350F22" w:rsidRPr="00B777AF" w14:paraId="0CE715C0" w14:textId="77777777" w:rsidTr="0077256C">
        <w:trPr>
          <w:tblHeader/>
        </w:trPr>
        <w:tc>
          <w:tcPr>
            <w:tcW w:w="2034" w:type="dxa"/>
            <w:shd w:val="clear" w:color="auto" w:fill="00548C"/>
          </w:tcPr>
          <w:p w14:paraId="053FC788" w14:textId="77777777" w:rsidR="00350F22" w:rsidRPr="00350F22" w:rsidRDefault="00350F22" w:rsidP="00350F22">
            <w:pPr>
              <w:rPr>
                <w:b/>
                <w:bCs/>
                <w:color w:val="FFFFFF"/>
              </w:rPr>
            </w:pPr>
            <w:r>
              <w:rPr>
                <w:b/>
                <w:color w:val="FFFFFF"/>
              </w:rPr>
              <w:t>ICD-10-CM Code</w:t>
            </w:r>
          </w:p>
        </w:tc>
        <w:tc>
          <w:tcPr>
            <w:tcW w:w="7591" w:type="dxa"/>
            <w:shd w:val="clear" w:color="auto" w:fill="00548C"/>
          </w:tcPr>
          <w:p w14:paraId="7AD65E28" w14:textId="77777777" w:rsidR="00350F22" w:rsidRPr="00350F22" w:rsidRDefault="00350F22" w:rsidP="00201E36">
            <w:pPr>
              <w:rPr>
                <w:b/>
                <w:bCs/>
                <w:color w:val="FFFFFF"/>
              </w:rPr>
            </w:pPr>
            <w:r w:rsidRPr="00350F22">
              <w:rPr>
                <w:b/>
                <w:color w:val="FFFFFF"/>
              </w:rPr>
              <w:t>Description</w:t>
            </w:r>
          </w:p>
        </w:tc>
      </w:tr>
      <w:tr w:rsidR="00E80FD4" w:rsidRPr="005144C0" w14:paraId="68D4FE16" w14:textId="77777777" w:rsidTr="0077256C">
        <w:tblPrEx>
          <w:tblLook w:val="04A0" w:firstRow="1" w:lastRow="0" w:firstColumn="1" w:lastColumn="0" w:noHBand="0" w:noVBand="1"/>
        </w:tblPrEx>
        <w:tc>
          <w:tcPr>
            <w:tcW w:w="2034" w:type="dxa"/>
          </w:tcPr>
          <w:p w14:paraId="3654ED11" w14:textId="77777777" w:rsidR="00E80FD4" w:rsidRDefault="00E80FD4" w:rsidP="00F231B4">
            <w:pPr>
              <w:rPr>
                <w:bCs/>
              </w:rPr>
            </w:pPr>
            <w:r>
              <w:rPr>
                <w:bCs/>
              </w:rPr>
              <w:t>C25.0-C25.9</w:t>
            </w:r>
          </w:p>
        </w:tc>
        <w:tc>
          <w:tcPr>
            <w:tcW w:w="7591" w:type="dxa"/>
          </w:tcPr>
          <w:p w14:paraId="7317884E" w14:textId="77777777" w:rsidR="00E80FD4" w:rsidRPr="005144C0" w:rsidRDefault="00E80FD4" w:rsidP="00F231B4">
            <w:pPr>
              <w:rPr>
                <w:bCs/>
              </w:rPr>
            </w:pPr>
            <w:r>
              <w:rPr>
                <w:bCs/>
              </w:rPr>
              <w:t>Malignant neoplasm of pancreas</w:t>
            </w:r>
          </w:p>
        </w:tc>
      </w:tr>
      <w:tr w:rsidR="00E80FD4" w14:paraId="5F92C280" w14:textId="77777777" w:rsidTr="0077256C">
        <w:tblPrEx>
          <w:tblLook w:val="04A0" w:firstRow="1" w:lastRow="0" w:firstColumn="1" w:lastColumn="0" w:noHBand="0" w:noVBand="1"/>
        </w:tblPrEx>
        <w:tc>
          <w:tcPr>
            <w:tcW w:w="2034" w:type="dxa"/>
          </w:tcPr>
          <w:p w14:paraId="4E24859B" w14:textId="77777777" w:rsidR="00E80FD4" w:rsidRDefault="00E80FD4" w:rsidP="00F231B4">
            <w:pPr>
              <w:rPr>
                <w:bCs/>
              </w:rPr>
            </w:pPr>
            <w:r>
              <w:rPr>
                <w:bCs/>
              </w:rPr>
              <w:t>G44.85</w:t>
            </w:r>
          </w:p>
        </w:tc>
        <w:tc>
          <w:tcPr>
            <w:tcW w:w="7591" w:type="dxa"/>
          </w:tcPr>
          <w:p w14:paraId="6A266F8F" w14:textId="77777777" w:rsidR="00E80FD4" w:rsidRDefault="00E80FD4" w:rsidP="00F231B4">
            <w:pPr>
              <w:rPr>
                <w:bCs/>
              </w:rPr>
            </w:pPr>
            <w:r>
              <w:rPr>
                <w:bCs/>
              </w:rPr>
              <w:t>Primary stabbing headache</w:t>
            </w:r>
          </w:p>
        </w:tc>
      </w:tr>
      <w:tr w:rsidR="00E80FD4" w14:paraId="1D741D04" w14:textId="77777777" w:rsidTr="0077256C">
        <w:tblPrEx>
          <w:tblLook w:val="04A0" w:firstRow="1" w:lastRow="0" w:firstColumn="1" w:lastColumn="0" w:noHBand="0" w:noVBand="1"/>
        </w:tblPrEx>
        <w:tc>
          <w:tcPr>
            <w:tcW w:w="2034" w:type="dxa"/>
          </w:tcPr>
          <w:p w14:paraId="1C3C8484" w14:textId="77777777" w:rsidR="00E80FD4" w:rsidRDefault="00E80FD4" w:rsidP="00F231B4">
            <w:pPr>
              <w:rPr>
                <w:bCs/>
              </w:rPr>
            </w:pPr>
            <w:r>
              <w:rPr>
                <w:bCs/>
              </w:rPr>
              <w:t>G50.0</w:t>
            </w:r>
          </w:p>
        </w:tc>
        <w:tc>
          <w:tcPr>
            <w:tcW w:w="7591" w:type="dxa"/>
          </w:tcPr>
          <w:p w14:paraId="58B47187" w14:textId="77777777" w:rsidR="00E80FD4" w:rsidRDefault="00E80FD4" w:rsidP="00F231B4">
            <w:pPr>
              <w:rPr>
                <w:bCs/>
              </w:rPr>
            </w:pPr>
            <w:r w:rsidRPr="00AF6024">
              <w:rPr>
                <w:bCs/>
              </w:rPr>
              <w:t>Trigeminal neuralgia</w:t>
            </w:r>
          </w:p>
        </w:tc>
      </w:tr>
      <w:tr w:rsidR="00E80FD4" w:rsidRPr="00AF6024" w14:paraId="52D017D5" w14:textId="77777777" w:rsidTr="0077256C">
        <w:tblPrEx>
          <w:tblLook w:val="04A0" w:firstRow="1" w:lastRow="0" w:firstColumn="1" w:lastColumn="0" w:noHBand="0" w:noVBand="1"/>
        </w:tblPrEx>
        <w:tc>
          <w:tcPr>
            <w:tcW w:w="2034" w:type="dxa"/>
          </w:tcPr>
          <w:p w14:paraId="0A89D52F" w14:textId="77777777" w:rsidR="00E80FD4" w:rsidRDefault="00E80FD4" w:rsidP="00F231B4">
            <w:pPr>
              <w:rPr>
                <w:bCs/>
              </w:rPr>
            </w:pPr>
            <w:r>
              <w:rPr>
                <w:bCs/>
              </w:rPr>
              <w:t>G50.1</w:t>
            </w:r>
          </w:p>
        </w:tc>
        <w:tc>
          <w:tcPr>
            <w:tcW w:w="7591" w:type="dxa"/>
          </w:tcPr>
          <w:p w14:paraId="64C41E6D" w14:textId="77777777" w:rsidR="00E80FD4" w:rsidRPr="00AF6024" w:rsidRDefault="00E80FD4" w:rsidP="00F231B4">
            <w:pPr>
              <w:rPr>
                <w:bCs/>
              </w:rPr>
            </w:pPr>
            <w:r w:rsidRPr="00AF6024">
              <w:rPr>
                <w:bCs/>
              </w:rPr>
              <w:t>Atypical facial pain</w:t>
            </w:r>
          </w:p>
        </w:tc>
      </w:tr>
      <w:tr w:rsidR="00E80FD4" w:rsidRPr="005144C0" w14:paraId="59D72D46" w14:textId="77777777" w:rsidTr="0077256C">
        <w:tblPrEx>
          <w:tblLook w:val="04A0" w:firstRow="1" w:lastRow="0" w:firstColumn="1" w:lastColumn="0" w:noHBand="0" w:noVBand="1"/>
        </w:tblPrEx>
        <w:tc>
          <w:tcPr>
            <w:tcW w:w="2034" w:type="dxa"/>
          </w:tcPr>
          <w:p w14:paraId="142F3739" w14:textId="77777777" w:rsidR="00E80FD4" w:rsidRPr="005144C0" w:rsidRDefault="00E80FD4" w:rsidP="00F231B4">
            <w:pPr>
              <w:rPr>
                <w:bCs/>
              </w:rPr>
            </w:pPr>
            <w:r>
              <w:rPr>
                <w:bCs/>
              </w:rPr>
              <w:t>G54.0-G54.9</w:t>
            </w:r>
          </w:p>
        </w:tc>
        <w:tc>
          <w:tcPr>
            <w:tcW w:w="7591" w:type="dxa"/>
          </w:tcPr>
          <w:p w14:paraId="72664E4F" w14:textId="77777777" w:rsidR="00E80FD4" w:rsidRPr="005144C0" w:rsidRDefault="00E80FD4" w:rsidP="00F231B4">
            <w:pPr>
              <w:rPr>
                <w:bCs/>
              </w:rPr>
            </w:pPr>
            <w:r>
              <w:rPr>
                <w:bCs/>
              </w:rPr>
              <w:t>N</w:t>
            </w:r>
            <w:r w:rsidRPr="00123E02">
              <w:rPr>
                <w:bCs/>
              </w:rPr>
              <w:t>erve root and plexus disorders</w:t>
            </w:r>
          </w:p>
        </w:tc>
      </w:tr>
      <w:tr w:rsidR="00E80FD4" w14:paraId="19582521" w14:textId="77777777" w:rsidTr="0077256C">
        <w:tblPrEx>
          <w:tblLook w:val="04A0" w:firstRow="1" w:lastRow="0" w:firstColumn="1" w:lastColumn="0" w:noHBand="0" w:noVBand="1"/>
        </w:tblPrEx>
        <w:tc>
          <w:tcPr>
            <w:tcW w:w="2034" w:type="dxa"/>
          </w:tcPr>
          <w:p w14:paraId="2EF0CAF2" w14:textId="77777777" w:rsidR="00E80FD4" w:rsidRDefault="00E80FD4" w:rsidP="00F231B4">
            <w:pPr>
              <w:rPr>
                <w:bCs/>
              </w:rPr>
            </w:pPr>
            <w:r>
              <w:rPr>
                <w:bCs/>
              </w:rPr>
              <w:t>G56.40-G56.43</w:t>
            </w:r>
          </w:p>
        </w:tc>
        <w:tc>
          <w:tcPr>
            <w:tcW w:w="7591" w:type="dxa"/>
          </w:tcPr>
          <w:p w14:paraId="66A66AB2" w14:textId="77777777" w:rsidR="00E80FD4" w:rsidRDefault="00E80FD4" w:rsidP="00F231B4">
            <w:pPr>
              <w:rPr>
                <w:bCs/>
              </w:rPr>
            </w:pPr>
            <w:r w:rsidRPr="00082549">
              <w:rPr>
                <w:bCs/>
              </w:rPr>
              <w:t>Causalgia of upper limb</w:t>
            </w:r>
          </w:p>
        </w:tc>
      </w:tr>
      <w:tr w:rsidR="00E80FD4" w:rsidRPr="00082549" w14:paraId="15BCDB94" w14:textId="77777777" w:rsidTr="0077256C">
        <w:tblPrEx>
          <w:tblLook w:val="04A0" w:firstRow="1" w:lastRow="0" w:firstColumn="1" w:lastColumn="0" w:noHBand="0" w:noVBand="1"/>
        </w:tblPrEx>
        <w:tc>
          <w:tcPr>
            <w:tcW w:w="2034" w:type="dxa"/>
          </w:tcPr>
          <w:p w14:paraId="65951D21" w14:textId="77777777" w:rsidR="00E80FD4" w:rsidRDefault="00E80FD4" w:rsidP="00F231B4">
            <w:pPr>
              <w:rPr>
                <w:bCs/>
              </w:rPr>
            </w:pPr>
            <w:r>
              <w:rPr>
                <w:bCs/>
              </w:rPr>
              <w:t>G57.70-G57.73</w:t>
            </w:r>
          </w:p>
        </w:tc>
        <w:tc>
          <w:tcPr>
            <w:tcW w:w="7591" w:type="dxa"/>
          </w:tcPr>
          <w:p w14:paraId="248B7965" w14:textId="77777777" w:rsidR="00E80FD4" w:rsidRPr="00082549" w:rsidRDefault="00E80FD4" w:rsidP="00F231B4">
            <w:pPr>
              <w:rPr>
                <w:bCs/>
              </w:rPr>
            </w:pPr>
            <w:r>
              <w:rPr>
                <w:bCs/>
              </w:rPr>
              <w:t>C</w:t>
            </w:r>
            <w:r w:rsidRPr="00082549">
              <w:rPr>
                <w:bCs/>
              </w:rPr>
              <w:t>ausalgia of lower limb</w:t>
            </w:r>
          </w:p>
        </w:tc>
      </w:tr>
      <w:tr w:rsidR="00E80FD4" w:rsidRPr="00123E02" w14:paraId="0C5067D9" w14:textId="77777777" w:rsidTr="0077256C">
        <w:tblPrEx>
          <w:tblLook w:val="04A0" w:firstRow="1" w:lastRow="0" w:firstColumn="1" w:lastColumn="0" w:noHBand="0" w:noVBand="1"/>
        </w:tblPrEx>
        <w:tc>
          <w:tcPr>
            <w:tcW w:w="2034" w:type="dxa"/>
          </w:tcPr>
          <w:p w14:paraId="094085F9" w14:textId="77777777" w:rsidR="00E80FD4" w:rsidRDefault="00E80FD4" w:rsidP="00F231B4">
            <w:pPr>
              <w:rPr>
                <w:bCs/>
              </w:rPr>
            </w:pPr>
            <w:r>
              <w:rPr>
                <w:bCs/>
              </w:rPr>
              <w:t>G89.22</w:t>
            </w:r>
          </w:p>
        </w:tc>
        <w:tc>
          <w:tcPr>
            <w:tcW w:w="7591" w:type="dxa"/>
          </w:tcPr>
          <w:p w14:paraId="0B6066B2" w14:textId="77777777" w:rsidR="00E80FD4" w:rsidRPr="00123E02" w:rsidRDefault="00E80FD4" w:rsidP="00F231B4">
            <w:pPr>
              <w:rPr>
                <w:bCs/>
              </w:rPr>
            </w:pPr>
            <w:r w:rsidRPr="00601944">
              <w:rPr>
                <w:bCs/>
              </w:rPr>
              <w:t>Chronic post-thoracotomy pain</w:t>
            </w:r>
          </w:p>
        </w:tc>
      </w:tr>
      <w:tr w:rsidR="00E80FD4" w:rsidRPr="00601944" w14:paraId="4C6D3145" w14:textId="77777777" w:rsidTr="0077256C">
        <w:tblPrEx>
          <w:tblLook w:val="04A0" w:firstRow="1" w:lastRow="0" w:firstColumn="1" w:lastColumn="0" w:noHBand="0" w:noVBand="1"/>
        </w:tblPrEx>
        <w:tc>
          <w:tcPr>
            <w:tcW w:w="2034" w:type="dxa"/>
          </w:tcPr>
          <w:p w14:paraId="03ACB79E" w14:textId="77777777" w:rsidR="00E80FD4" w:rsidRDefault="00E80FD4" w:rsidP="00F231B4">
            <w:pPr>
              <w:rPr>
                <w:bCs/>
              </w:rPr>
            </w:pPr>
            <w:r>
              <w:rPr>
                <w:bCs/>
              </w:rPr>
              <w:t>G89.4</w:t>
            </w:r>
          </w:p>
        </w:tc>
        <w:tc>
          <w:tcPr>
            <w:tcW w:w="7591" w:type="dxa"/>
          </w:tcPr>
          <w:p w14:paraId="140CDC54" w14:textId="77777777" w:rsidR="00E80FD4" w:rsidRPr="00601944" w:rsidRDefault="00E80FD4" w:rsidP="00F231B4">
            <w:pPr>
              <w:rPr>
                <w:bCs/>
              </w:rPr>
            </w:pPr>
            <w:r>
              <w:rPr>
                <w:bCs/>
              </w:rPr>
              <w:t>Chronic pain syndrome</w:t>
            </w:r>
          </w:p>
        </w:tc>
      </w:tr>
      <w:tr w:rsidR="00E80FD4" w14:paraId="3F0FFCCA" w14:textId="77777777" w:rsidTr="0077256C">
        <w:tblPrEx>
          <w:tblLook w:val="04A0" w:firstRow="1" w:lastRow="0" w:firstColumn="1" w:lastColumn="0" w:noHBand="0" w:noVBand="1"/>
        </w:tblPrEx>
        <w:tc>
          <w:tcPr>
            <w:tcW w:w="2034" w:type="dxa"/>
          </w:tcPr>
          <w:p w14:paraId="14080B19" w14:textId="77777777" w:rsidR="00E80FD4" w:rsidRDefault="00E80FD4" w:rsidP="00F231B4">
            <w:pPr>
              <w:rPr>
                <w:bCs/>
              </w:rPr>
            </w:pPr>
            <w:r>
              <w:rPr>
                <w:bCs/>
              </w:rPr>
              <w:t>G90.50-G90.59</w:t>
            </w:r>
          </w:p>
        </w:tc>
        <w:tc>
          <w:tcPr>
            <w:tcW w:w="7591" w:type="dxa"/>
          </w:tcPr>
          <w:p w14:paraId="139E6832" w14:textId="77777777" w:rsidR="00E80FD4" w:rsidRDefault="00E80FD4" w:rsidP="00F231B4">
            <w:pPr>
              <w:rPr>
                <w:bCs/>
              </w:rPr>
            </w:pPr>
            <w:r w:rsidRPr="00B274FE">
              <w:rPr>
                <w:bCs/>
              </w:rPr>
              <w:t>Complex regional pain syndrome I (CRPS I)</w:t>
            </w:r>
          </w:p>
        </w:tc>
      </w:tr>
      <w:tr w:rsidR="00E80FD4" w:rsidRPr="005144C0" w14:paraId="09366453" w14:textId="77777777" w:rsidTr="0077256C">
        <w:tblPrEx>
          <w:tblLook w:val="04A0" w:firstRow="1" w:lastRow="0" w:firstColumn="1" w:lastColumn="0" w:noHBand="0" w:noVBand="1"/>
        </w:tblPrEx>
        <w:tc>
          <w:tcPr>
            <w:tcW w:w="2034" w:type="dxa"/>
          </w:tcPr>
          <w:p w14:paraId="636194D1" w14:textId="77777777" w:rsidR="00E80FD4" w:rsidRDefault="00E80FD4" w:rsidP="00F231B4">
            <w:pPr>
              <w:rPr>
                <w:bCs/>
              </w:rPr>
            </w:pPr>
            <w:r>
              <w:rPr>
                <w:bCs/>
              </w:rPr>
              <w:t>M54.81</w:t>
            </w:r>
          </w:p>
        </w:tc>
        <w:tc>
          <w:tcPr>
            <w:tcW w:w="7591" w:type="dxa"/>
          </w:tcPr>
          <w:p w14:paraId="3197020C" w14:textId="77777777" w:rsidR="00E80FD4" w:rsidRPr="005144C0" w:rsidRDefault="00E80FD4" w:rsidP="00F231B4">
            <w:pPr>
              <w:rPr>
                <w:bCs/>
              </w:rPr>
            </w:pPr>
            <w:r w:rsidRPr="00123E02">
              <w:rPr>
                <w:bCs/>
              </w:rPr>
              <w:t>Occipital neuralgia</w:t>
            </w:r>
          </w:p>
        </w:tc>
      </w:tr>
      <w:tr w:rsidR="00E80FD4" w:rsidRPr="00123E02" w14:paraId="62D32FBF" w14:textId="77777777" w:rsidTr="0077256C">
        <w:tblPrEx>
          <w:tblLook w:val="04A0" w:firstRow="1" w:lastRow="0" w:firstColumn="1" w:lastColumn="0" w:noHBand="0" w:noVBand="1"/>
        </w:tblPrEx>
        <w:tc>
          <w:tcPr>
            <w:tcW w:w="2034" w:type="dxa"/>
          </w:tcPr>
          <w:p w14:paraId="06B36F17" w14:textId="77777777" w:rsidR="00E80FD4" w:rsidRDefault="00E80FD4" w:rsidP="00F231B4">
            <w:pPr>
              <w:rPr>
                <w:bCs/>
              </w:rPr>
            </w:pPr>
            <w:r>
              <w:rPr>
                <w:bCs/>
              </w:rPr>
              <w:t>R07.81-R07.89</w:t>
            </w:r>
          </w:p>
        </w:tc>
        <w:tc>
          <w:tcPr>
            <w:tcW w:w="7591" w:type="dxa"/>
          </w:tcPr>
          <w:p w14:paraId="2CB97BE8" w14:textId="77777777" w:rsidR="00E80FD4" w:rsidRPr="00123E02" w:rsidRDefault="00E80FD4" w:rsidP="00F231B4">
            <w:pPr>
              <w:rPr>
                <w:bCs/>
              </w:rPr>
            </w:pPr>
            <w:r>
              <w:rPr>
                <w:bCs/>
              </w:rPr>
              <w:t>Other chest pain</w:t>
            </w:r>
          </w:p>
        </w:tc>
      </w:tr>
      <w:tr w:rsidR="00E80FD4" w14:paraId="504025B8" w14:textId="77777777" w:rsidTr="0077256C">
        <w:tblPrEx>
          <w:tblLook w:val="04A0" w:firstRow="1" w:lastRow="0" w:firstColumn="1" w:lastColumn="0" w:noHBand="0" w:noVBand="1"/>
        </w:tblPrEx>
        <w:tc>
          <w:tcPr>
            <w:tcW w:w="2034" w:type="dxa"/>
          </w:tcPr>
          <w:p w14:paraId="5ADBA2A1" w14:textId="77777777" w:rsidR="00E80FD4" w:rsidRDefault="00E80FD4" w:rsidP="00F231B4">
            <w:pPr>
              <w:rPr>
                <w:bCs/>
              </w:rPr>
            </w:pPr>
            <w:r>
              <w:rPr>
                <w:bCs/>
              </w:rPr>
              <w:t>R10.10-R10.12</w:t>
            </w:r>
          </w:p>
        </w:tc>
        <w:tc>
          <w:tcPr>
            <w:tcW w:w="7591" w:type="dxa"/>
          </w:tcPr>
          <w:p w14:paraId="36FAD813" w14:textId="77777777" w:rsidR="00E80FD4" w:rsidRDefault="00E80FD4" w:rsidP="00F231B4">
            <w:pPr>
              <w:rPr>
                <w:bCs/>
              </w:rPr>
            </w:pPr>
            <w:r w:rsidRPr="0082700B">
              <w:rPr>
                <w:bCs/>
              </w:rPr>
              <w:t>Pain localized to upper abdomen</w:t>
            </w:r>
          </w:p>
        </w:tc>
      </w:tr>
      <w:tr w:rsidR="00E80FD4" w:rsidRPr="00123E02" w14:paraId="4E7383BA" w14:textId="77777777" w:rsidTr="0077256C">
        <w:tblPrEx>
          <w:tblLook w:val="04A0" w:firstRow="1" w:lastRow="0" w:firstColumn="1" w:lastColumn="0" w:noHBand="0" w:noVBand="1"/>
        </w:tblPrEx>
        <w:tc>
          <w:tcPr>
            <w:tcW w:w="2034" w:type="dxa"/>
          </w:tcPr>
          <w:p w14:paraId="47F3F55C" w14:textId="77777777" w:rsidR="00E80FD4" w:rsidRDefault="00E80FD4" w:rsidP="00F231B4">
            <w:pPr>
              <w:rPr>
                <w:bCs/>
              </w:rPr>
            </w:pPr>
            <w:r>
              <w:rPr>
                <w:bCs/>
              </w:rPr>
              <w:t>S22.41X+-S22.49X+</w:t>
            </w:r>
          </w:p>
        </w:tc>
        <w:tc>
          <w:tcPr>
            <w:tcW w:w="7591" w:type="dxa"/>
          </w:tcPr>
          <w:p w14:paraId="7518AB60" w14:textId="77777777" w:rsidR="00E80FD4" w:rsidRPr="00123E02" w:rsidRDefault="00E80FD4" w:rsidP="00F231B4">
            <w:pPr>
              <w:rPr>
                <w:bCs/>
              </w:rPr>
            </w:pPr>
            <w:r>
              <w:rPr>
                <w:bCs/>
              </w:rPr>
              <w:t>Multiple fractures of rib</w:t>
            </w:r>
          </w:p>
        </w:tc>
      </w:tr>
    </w:tbl>
    <w:p w14:paraId="13F4FE97" w14:textId="77777777" w:rsidR="00350F22" w:rsidRDefault="00350F22"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B777AF" w:rsidRPr="00B777AF" w14:paraId="5E3FA404" w14:textId="77777777" w:rsidTr="005776F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right w:val="none" w:sz="0" w:space="0" w:color="auto"/>
            </w:tcBorders>
            <w:shd w:val="clear" w:color="auto" w:fill="00548C"/>
          </w:tcPr>
          <w:p w14:paraId="38D79922" w14:textId="77777777" w:rsidR="00B777AF" w:rsidRPr="00B777AF" w:rsidRDefault="00B777AF" w:rsidP="00B777AF">
            <w:pPr>
              <w:rPr>
                <w:bCs w:val="0"/>
              </w:rPr>
            </w:pPr>
            <w:bookmarkStart w:id="20" w:name="Revision_Log"/>
            <w:r w:rsidRPr="00B777AF">
              <w:rPr>
                <w:bCs w:val="0"/>
              </w:rPr>
              <w:t>Reviews</w:t>
            </w:r>
            <w:r>
              <w:rPr>
                <w:bCs w:val="0"/>
              </w:rPr>
              <w:t>, Revisions, and Approvals</w:t>
            </w:r>
            <w:bookmarkEnd w:id="20"/>
          </w:p>
        </w:tc>
        <w:tc>
          <w:tcPr>
            <w:tcW w:w="810" w:type="dxa"/>
            <w:shd w:val="clear" w:color="auto" w:fill="00548C"/>
          </w:tcPr>
          <w:p w14:paraId="421A829F" w14:textId="77777777" w:rsidR="00B777AF" w:rsidRPr="00B777AF" w:rsidRDefault="00B777AF"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0E11DC5D"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B777AF" w14:paraId="22C5429C"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Borders>
              <w:top w:val="none" w:sz="0" w:space="0" w:color="auto"/>
              <w:left w:val="none" w:sz="0" w:space="0" w:color="auto"/>
              <w:bottom w:val="none" w:sz="0" w:space="0" w:color="auto"/>
              <w:right w:val="none" w:sz="0" w:space="0" w:color="auto"/>
            </w:tcBorders>
          </w:tcPr>
          <w:p w14:paraId="4A840B30" w14:textId="324D5565" w:rsidR="00B777AF" w:rsidRDefault="00A82C7D">
            <w:pPr>
              <w:tabs>
                <w:tab w:val="num" w:pos="720"/>
              </w:tabs>
            </w:pPr>
            <w:r>
              <w:t xml:space="preserve">Policy split from CP.MP.118 Injections for Pain Management. </w:t>
            </w:r>
            <w:r w:rsidR="002B0255">
              <w:t xml:space="preserve">Sympathetic nerve block for CRPS: reworded diagnostic criteria for CRPS, retaining clinical meaning; added requirement of positive response to first or second block if requesting additional; added that blocks should be at least one week apart. </w:t>
            </w:r>
            <w:r w:rsidR="004C20D9">
              <w:t>E</w:t>
            </w:r>
            <w:r w:rsidR="002B0255">
              <w:t xml:space="preserve">xpanded criteria for sympathetic nerve block for pancreatic cancer </w:t>
            </w:r>
            <w:r w:rsidR="00833F3D">
              <w:t xml:space="preserve">to include celiac plexus neurolysis </w:t>
            </w:r>
            <w:r w:rsidR="003A6A2A">
              <w:t>and gave it its own section</w:t>
            </w:r>
            <w:r w:rsidR="004C20D9">
              <w:t xml:space="preserve">. </w:t>
            </w:r>
            <w:r w:rsidR="00D861E2">
              <w:t xml:space="preserve"> </w:t>
            </w:r>
            <w:r w:rsidR="003A6A2A">
              <w:t xml:space="preserve">Changed indication for ischemic leg pain from </w:t>
            </w:r>
            <w:r w:rsidR="004C20D9">
              <w:t>“</w:t>
            </w:r>
            <w:r w:rsidR="003A6A2A">
              <w:t>limited evidence to support</w:t>
            </w:r>
            <w:r w:rsidR="004C20D9">
              <w:t>”</w:t>
            </w:r>
            <w:r w:rsidR="003A6A2A">
              <w:t xml:space="preserve"> to </w:t>
            </w:r>
            <w:r w:rsidR="004C20D9">
              <w:t>“</w:t>
            </w:r>
            <w:r w:rsidR="003A6A2A">
              <w:t>not medically necessary.</w:t>
            </w:r>
            <w:r w:rsidR="004C20D9">
              <w:t>”</w:t>
            </w:r>
            <w:r w:rsidR="003A6A2A">
              <w:t xml:space="preserve"> </w:t>
            </w:r>
            <w:r w:rsidR="00D7066A">
              <w:t xml:space="preserve">Updated background. </w:t>
            </w:r>
            <w:r>
              <w:t>References reviewed and updated.</w:t>
            </w:r>
            <w:r w:rsidR="004C20D9">
              <w:t xml:space="preserve"> Coding updated.</w:t>
            </w:r>
          </w:p>
        </w:tc>
        <w:tc>
          <w:tcPr>
            <w:tcW w:w="810" w:type="dxa"/>
            <w:tcBorders>
              <w:top w:val="none" w:sz="0" w:space="0" w:color="auto"/>
              <w:bottom w:val="none" w:sz="0" w:space="0" w:color="auto"/>
            </w:tcBorders>
          </w:tcPr>
          <w:p w14:paraId="46AE1331" w14:textId="77777777" w:rsidR="00B777AF" w:rsidRDefault="00A82C7D" w:rsidP="005776FD">
            <w:pPr>
              <w:jc w:val="center"/>
              <w:cnfStyle w:val="000000100000" w:firstRow="0" w:lastRow="0" w:firstColumn="0" w:lastColumn="0" w:oddVBand="0" w:evenVBand="0" w:oddHBand="1" w:evenHBand="0" w:firstRowFirstColumn="0" w:firstRowLastColumn="0" w:lastRowFirstColumn="0" w:lastRowLastColumn="0"/>
            </w:pPr>
            <w:r>
              <w:t>08/18</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1F232814" w14:textId="0186E989" w:rsidR="00B777AF" w:rsidRDefault="00DA4AB4" w:rsidP="00857C10">
            <w:pPr>
              <w:jc w:val="center"/>
            </w:pPr>
            <w:r>
              <w:t>08/18</w:t>
            </w:r>
          </w:p>
        </w:tc>
      </w:tr>
      <w:tr w:rsidR="00474A2E" w14:paraId="231D1CD3"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0A2698B6" w14:textId="0CD18E0F" w:rsidR="00474A2E" w:rsidRDefault="009D5635" w:rsidP="003C6013">
            <w:pPr>
              <w:tabs>
                <w:tab w:val="num" w:pos="720"/>
              </w:tabs>
            </w:pPr>
            <w:r>
              <w:t xml:space="preserve">Annual review.  References reviewed and updated (added International Headache Society and </w:t>
            </w:r>
            <w:r w:rsidRPr="00D23FD5">
              <w:rPr>
                <w:rFonts w:ascii="Lato" w:hAnsi="Lato" w:cs="Helvetica"/>
                <w:color w:val="333333"/>
                <w:lang w:val="en"/>
              </w:rPr>
              <w:t>Practice Guidelines for Chronic Pain Management</w:t>
            </w:r>
            <w:r>
              <w:rPr>
                <w:rFonts w:ascii="Lato" w:hAnsi="Lato" w:cs="Helvetica"/>
                <w:color w:val="333333"/>
                <w:lang w:val="en"/>
              </w:rPr>
              <w:t>)</w:t>
            </w:r>
            <w:r>
              <w:t xml:space="preserve">.    Specialty review completed.  Removed CPT 64508 as code </w:t>
            </w:r>
            <w:r w:rsidR="00881F01">
              <w:t>wa</w:t>
            </w:r>
            <w:r w:rsidR="00B854B9">
              <w:t>s inactive 1/1/2019.</w:t>
            </w:r>
            <w:r w:rsidR="00CA4B04">
              <w:t xml:space="preserve"> Added CPT 64620 for intercostal neurolysis.</w:t>
            </w:r>
            <w:r w:rsidR="005B38D5">
              <w:t xml:space="preserve"> Specified that the following codes DO NOT support medical necessity: 64400, 64402, 64408, 64410, 64413, 64415, 64417, 64418, 64425, 64430, 64435, 64445, 64447, 64450, 64505.</w:t>
            </w:r>
          </w:p>
        </w:tc>
        <w:tc>
          <w:tcPr>
            <w:tcW w:w="810" w:type="dxa"/>
          </w:tcPr>
          <w:p w14:paraId="05BD2589" w14:textId="0D4B06D9" w:rsidR="00474A2E" w:rsidRDefault="00474A2E" w:rsidP="005776FD">
            <w:pPr>
              <w:jc w:val="center"/>
              <w:cnfStyle w:val="000000000000" w:firstRow="0" w:lastRow="0" w:firstColumn="0" w:lastColumn="0" w:oddVBand="0" w:evenVBand="0" w:oddHBand="0" w:evenHBand="0" w:firstRowFirstColumn="0" w:firstRowLastColumn="0" w:lastRowFirstColumn="0" w:lastRowLastColumn="0"/>
            </w:pPr>
            <w:r>
              <w:t>08/19</w:t>
            </w:r>
          </w:p>
        </w:tc>
        <w:tc>
          <w:tcPr>
            <w:cnfStyle w:val="000010000000" w:firstRow="0" w:lastRow="0" w:firstColumn="0" w:lastColumn="0" w:oddVBand="1" w:evenVBand="0" w:oddHBand="0" w:evenHBand="0" w:firstRowFirstColumn="0" w:firstRowLastColumn="0" w:lastRowFirstColumn="0" w:lastRowLastColumn="0"/>
            <w:tcW w:w="1260" w:type="dxa"/>
          </w:tcPr>
          <w:p w14:paraId="44559AB6" w14:textId="20323A5A" w:rsidR="00474A2E" w:rsidRDefault="00F36466" w:rsidP="00857C10">
            <w:pPr>
              <w:jc w:val="center"/>
            </w:pPr>
            <w:r>
              <w:t>08/19</w:t>
            </w:r>
          </w:p>
        </w:tc>
      </w:tr>
    </w:tbl>
    <w:p w14:paraId="04992F1F" w14:textId="77777777" w:rsidR="00B777AF" w:rsidRDefault="00B777AF" w:rsidP="00B777AF">
      <w:pPr>
        <w:pStyle w:val="Heading6"/>
        <w:tabs>
          <w:tab w:val="clear" w:pos="0"/>
        </w:tabs>
      </w:pPr>
    </w:p>
    <w:p w14:paraId="03B16094" w14:textId="77777777" w:rsidR="00963062" w:rsidRPr="00B777AF" w:rsidRDefault="003F3D44" w:rsidP="00963062">
      <w:pPr>
        <w:pStyle w:val="Heading3"/>
      </w:pPr>
      <w:bookmarkStart w:id="21" w:name="_Toc522612386"/>
      <w:bookmarkStart w:id="22" w:name="_Toc522621296"/>
      <w:r>
        <w:t>References</w:t>
      </w:r>
      <w:bookmarkEnd w:id="21"/>
      <w:bookmarkEnd w:id="22"/>
    </w:p>
    <w:p w14:paraId="7CFA64FB" w14:textId="6607E82E" w:rsidR="00652DAD" w:rsidRDefault="00652DAD" w:rsidP="00652DAD">
      <w:pPr>
        <w:numPr>
          <w:ilvl w:val="0"/>
          <w:numId w:val="21"/>
        </w:numPr>
        <w:ind w:left="360"/>
      </w:pPr>
      <w:r w:rsidRPr="00652DAD">
        <w:t xml:space="preserve">International Headache Society (IHS). IHS classification ICHD-3 beta: 13.4 occipital neuralgia. 2016b. Available at: https://www.ichd-3.org/13-painful-cranial-neuropathies-and-other-facial-pains/13-4-occipital-neuralgia/. Accessed </w:t>
      </w:r>
      <w:r w:rsidR="009D6E27">
        <w:t>July 19, 2019</w:t>
      </w:r>
      <w:r w:rsidRPr="00652DAD">
        <w:t xml:space="preserve">. </w:t>
      </w:r>
    </w:p>
    <w:p w14:paraId="1CB40B90" w14:textId="5FE8B1D0" w:rsidR="006A1D61" w:rsidRDefault="006A1D61" w:rsidP="00652DAD">
      <w:pPr>
        <w:numPr>
          <w:ilvl w:val="0"/>
          <w:numId w:val="21"/>
        </w:numPr>
        <w:ind w:left="360"/>
      </w:pPr>
      <w:r>
        <w:t xml:space="preserve">Drewes AM, Campbell CM, Ceyhan GO, et al. </w:t>
      </w:r>
      <w:r w:rsidRPr="00AE0038">
        <w:t>Pain in pancreatic ductal adenocarcinoma: A multidisciplinary, International guideline for optimized management</w:t>
      </w:r>
      <w:r>
        <w:t xml:space="preserve">. </w:t>
      </w:r>
      <w:r w:rsidRPr="00F42A2E">
        <w:rPr>
          <w:i/>
        </w:rPr>
        <w:t xml:space="preserve">Pancreatology. </w:t>
      </w:r>
      <w:r>
        <w:t xml:space="preserve">2018 Jun;18(4):446-457. doi: 10.1016/j.pan.2018.04.008. </w:t>
      </w:r>
    </w:p>
    <w:p w14:paraId="422C5014" w14:textId="77777777" w:rsidR="006A1D61" w:rsidRDefault="006A1D61" w:rsidP="006A1D61">
      <w:pPr>
        <w:pStyle w:val="ListParagraph"/>
        <w:numPr>
          <w:ilvl w:val="0"/>
          <w:numId w:val="21"/>
        </w:numPr>
        <w:ind w:left="360"/>
      </w:pPr>
      <w:r w:rsidRPr="006A1D61">
        <w:t xml:space="preserve">Arcidiacono PG, Calori G, Carrara S, McNicol ED, Testoni PA. Celiac plexus block for pancreatic cancer pain in adults. </w:t>
      </w:r>
      <w:r w:rsidRPr="00135837">
        <w:rPr>
          <w:i/>
        </w:rPr>
        <w:t>Cochrane Database Syst Rev.</w:t>
      </w:r>
      <w:r w:rsidRPr="006A1D61">
        <w:t xml:space="preserve"> 2011 Mar 16;(3):CD007519. doi: 10.1002/14651858.CD007519.pub2.</w:t>
      </w:r>
    </w:p>
    <w:p w14:paraId="3908F505" w14:textId="6B8395A1" w:rsidR="006A1D61" w:rsidRDefault="006A1D61" w:rsidP="006A1D61">
      <w:pPr>
        <w:pStyle w:val="ListParagraph"/>
        <w:numPr>
          <w:ilvl w:val="0"/>
          <w:numId w:val="21"/>
        </w:numPr>
        <w:ind w:left="360"/>
      </w:pPr>
      <w:r>
        <w:t xml:space="preserve">Bashir MM, Shahzad MA, Yousaf MN, et al. Comparison of postoperative pain relief by intercostal block between pre-rib harvest and post-rib harvest groups. </w:t>
      </w:r>
      <w:r w:rsidRPr="00135837">
        <w:rPr>
          <w:i/>
        </w:rPr>
        <w:t>J College Physicians Surg Pak</w:t>
      </w:r>
      <w:r>
        <w:t>. 2014 Jan:24(1):43-6. Doi:01.2014/JCPSP.4346.</w:t>
      </w:r>
    </w:p>
    <w:p w14:paraId="27AC8DEB" w14:textId="534D9622" w:rsidR="006A1D61" w:rsidRDefault="006A1D61" w:rsidP="006A1D61">
      <w:pPr>
        <w:pStyle w:val="ListParagraph"/>
        <w:numPr>
          <w:ilvl w:val="0"/>
          <w:numId w:val="21"/>
        </w:numPr>
        <w:ind w:left="360"/>
      </w:pPr>
      <w:r>
        <w:t>Bulger EM. Inpatient Management of Traumatic Rib Fracture. UpToDate. Waltham, MA. August 15, 2016.</w:t>
      </w:r>
      <w:r w:rsidR="00DB4A61">
        <w:t xml:space="preserve">   Accessed July 19. 2019.</w:t>
      </w:r>
    </w:p>
    <w:p w14:paraId="21CD46B1" w14:textId="77777777" w:rsidR="006A1D61" w:rsidRDefault="006A1D61" w:rsidP="006A1D61">
      <w:pPr>
        <w:pStyle w:val="ListParagraph"/>
        <w:numPr>
          <w:ilvl w:val="0"/>
          <w:numId w:val="21"/>
        </w:numPr>
        <w:ind w:left="360"/>
      </w:pPr>
      <w:r>
        <w:t xml:space="preserve">Hwang EG, Lee Y. Effectiveness of Intercostal Nerve Block for Management of Pain in Rib Fracture Patients. </w:t>
      </w:r>
      <w:r w:rsidRPr="00135837">
        <w:rPr>
          <w:i/>
        </w:rPr>
        <w:t>Exerc Rehabil.</w:t>
      </w:r>
      <w:r>
        <w:t xml:space="preserve"> 2014 Aug 31; 10(4):241-4. DOI: 10.12965/jer.I40137.</w:t>
      </w:r>
    </w:p>
    <w:p w14:paraId="5B1DB15E" w14:textId="6683DBD6" w:rsidR="006A1D61" w:rsidRPr="00A21CB4" w:rsidRDefault="006A1D61" w:rsidP="006A1D61">
      <w:pPr>
        <w:pStyle w:val="ListParagraph"/>
        <w:numPr>
          <w:ilvl w:val="0"/>
          <w:numId w:val="21"/>
        </w:numPr>
        <w:ind w:left="360"/>
      </w:pPr>
      <w:r w:rsidRPr="00A21CB4">
        <w:t>Morimoto Y, Yamaguch NU. Regional anesthesia for thoracic surgery. Anesthesia pain and Intensive Care. 2010-2013.</w:t>
      </w:r>
      <w:r w:rsidR="00DB4A61" w:rsidRPr="00A21CB4">
        <w:t xml:space="preserve">  </w:t>
      </w:r>
    </w:p>
    <w:p w14:paraId="1D2A3E6A" w14:textId="0EA21809" w:rsidR="006A1D61" w:rsidRPr="00A21CB4" w:rsidRDefault="006A1D61" w:rsidP="006A1D61">
      <w:pPr>
        <w:pStyle w:val="ListParagraph"/>
        <w:numPr>
          <w:ilvl w:val="0"/>
          <w:numId w:val="21"/>
        </w:numPr>
        <w:ind w:left="360"/>
      </w:pPr>
      <w:r w:rsidRPr="00A21CB4">
        <w:t xml:space="preserve">Rice DC, Cata JP, Mena GE, et al. Posterior Intercostal Nerve Block with Liposomal Bupivacaine: An Alternative to Thoracic Epidural Analgesia. </w:t>
      </w:r>
      <w:r w:rsidR="007D0C4C" w:rsidRPr="00A21CB4">
        <w:rPr>
          <w:i/>
        </w:rPr>
        <w:t>Thorac Surg.</w:t>
      </w:r>
      <w:r w:rsidRPr="00A21CB4">
        <w:t xml:space="preserve"> 2015;99(6):1953-6.</w:t>
      </w:r>
    </w:p>
    <w:p w14:paraId="78A9251F" w14:textId="58631742" w:rsidR="006A1D61" w:rsidRDefault="006A1D61" w:rsidP="006A1D61">
      <w:pPr>
        <w:pStyle w:val="ListParagraph"/>
        <w:numPr>
          <w:ilvl w:val="0"/>
          <w:numId w:val="21"/>
        </w:numPr>
        <w:ind w:left="360"/>
      </w:pPr>
      <w:r w:rsidRPr="00853817">
        <w:t>Hayes Search and Summary. Genicular Nerve Blocks for Knee Pain. May 28, 2015. Accessed August 29, 2016. Update</w:t>
      </w:r>
      <w:r w:rsidR="00BE38C7">
        <w:t>d</w:t>
      </w:r>
      <w:r w:rsidRPr="00853817">
        <w:t xml:space="preserve"> June 2017</w:t>
      </w:r>
      <w:r>
        <w:t xml:space="preserve">. Archived Jul. 16, 2018. Accessed </w:t>
      </w:r>
      <w:r w:rsidR="00BE38C7">
        <w:t>July 19, 2019.</w:t>
      </w:r>
    </w:p>
    <w:p w14:paraId="0C021472" w14:textId="77777777" w:rsidR="00D95591" w:rsidRDefault="00D95591" w:rsidP="00135837">
      <w:pPr>
        <w:pStyle w:val="ListParagraph"/>
        <w:numPr>
          <w:ilvl w:val="0"/>
          <w:numId w:val="21"/>
        </w:numPr>
        <w:ind w:left="360"/>
      </w:pPr>
      <w:r>
        <w:t xml:space="preserve">McCormick ZL, Reddy R, Korn M, et al. A Prospective Randomized Trial of Prognostic Genicular Nerve Blocks to Determine the Predictive Value for the Outcome of Cooled Radiofrequency Ablation for Chronic Knee Pain Due to Osteoarthritis. </w:t>
      </w:r>
      <w:r w:rsidRPr="00135837">
        <w:rPr>
          <w:i/>
        </w:rPr>
        <w:t>Pain Med.</w:t>
      </w:r>
      <w:r>
        <w:t xml:space="preserve"> 2018 Aug 1;19(8):1628-1638. doi: 10.1093/pm/pnx286.</w:t>
      </w:r>
    </w:p>
    <w:p w14:paraId="46D70865" w14:textId="77777777" w:rsidR="006A1D61" w:rsidRPr="00377C5B" w:rsidRDefault="006A1D61" w:rsidP="006A1D61">
      <w:pPr>
        <w:numPr>
          <w:ilvl w:val="0"/>
          <w:numId w:val="21"/>
        </w:numPr>
        <w:ind w:left="360"/>
      </w:pPr>
      <w:r w:rsidRPr="00377C5B">
        <w:t>Kesikburun S, YaSar E, Uran A, Adiguzel E, Yimaz B. Ultrasound-guided genicular nerve pulsed radiofrequency treatment for painful knee osteoarthritis: A preliminary report</w:t>
      </w:r>
      <w:r w:rsidRPr="00135837">
        <w:rPr>
          <w:i/>
        </w:rPr>
        <w:t>. Pain Physician</w:t>
      </w:r>
      <w:r w:rsidRPr="00377C5B">
        <w:t xml:space="preserve"> 2016; 19:E751-E759. </w:t>
      </w:r>
    </w:p>
    <w:p w14:paraId="4269E042" w14:textId="77777777" w:rsidR="006A1D61" w:rsidRDefault="006A1D61" w:rsidP="006A1D61">
      <w:pPr>
        <w:pStyle w:val="ListParagraph"/>
        <w:numPr>
          <w:ilvl w:val="0"/>
          <w:numId w:val="21"/>
        </w:numPr>
        <w:ind w:left="360"/>
      </w:pPr>
      <w:r>
        <w:t xml:space="preserve">Qudsi-Sinclair S, Borrás-Rubio E, Abellan-Guillén JF, et al.  A Comparison of Genicular Nerve Treatment Using Either Radiofrequency or Analgesic Block with Corticosteroid for Pain after a Total Knee Arthroplasty: A Double-Blind, Randomized Clinical Study.  </w:t>
      </w:r>
      <w:r w:rsidRPr="00135837">
        <w:rPr>
          <w:i/>
        </w:rPr>
        <w:t>Pain Pract.</w:t>
      </w:r>
      <w:r>
        <w:t xml:space="preserve"> 2017 Jun;17(5):578-588</w:t>
      </w:r>
    </w:p>
    <w:p w14:paraId="447BCFE3" w14:textId="77777777" w:rsidR="006A1D61" w:rsidRDefault="006A1D61" w:rsidP="006A1D61">
      <w:pPr>
        <w:pStyle w:val="ListParagraph"/>
        <w:numPr>
          <w:ilvl w:val="0"/>
          <w:numId w:val="21"/>
        </w:numPr>
        <w:ind w:left="360"/>
      </w:pPr>
      <w:r>
        <w:t xml:space="preserve">Ahmed A, Arora D. Ultrasound-guided radiofrequency ablation of genicular nerves of knee for relief of intractable pain from knee osteoarthritis: a case series. </w:t>
      </w:r>
      <w:r w:rsidRPr="00135837">
        <w:rPr>
          <w:i/>
        </w:rPr>
        <w:t>Br J Pain.</w:t>
      </w:r>
      <w:r>
        <w:t xml:space="preserve"> 2018 Aug;12(3):145-154. doi: 10.1177/2049463717730433. Epub 2017 Sep 19.</w:t>
      </w:r>
    </w:p>
    <w:p w14:paraId="5CE316B2" w14:textId="77777777" w:rsidR="006A1D61" w:rsidRDefault="006A1D61" w:rsidP="006A1D61">
      <w:pPr>
        <w:pStyle w:val="ListParagraph"/>
        <w:numPr>
          <w:ilvl w:val="0"/>
          <w:numId w:val="21"/>
        </w:numPr>
        <w:ind w:left="360"/>
      </w:pPr>
      <w:r>
        <w:t xml:space="preserve">Kim DH, Choi SS, Yoon SH, et al. Ultrasound-Guided Genicular Nerve Block for Knee Osteoarthritis: A Double-Blind, Randomized Controlled Trial of Local Anesthetic Alone or in Combination with Corticosteroid. </w:t>
      </w:r>
      <w:r w:rsidRPr="00135837">
        <w:rPr>
          <w:i/>
        </w:rPr>
        <w:t>Pain Physician.</w:t>
      </w:r>
      <w:r>
        <w:t xml:space="preserve"> 2018 Jan;21(1):41-52.</w:t>
      </w:r>
    </w:p>
    <w:p w14:paraId="0EC3C756" w14:textId="05DE9C8E" w:rsidR="007D0C4C" w:rsidRDefault="006A1D61" w:rsidP="006A1D61">
      <w:pPr>
        <w:pStyle w:val="ListParagraph"/>
        <w:numPr>
          <w:ilvl w:val="0"/>
          <w:numId w:val="21"/>
        </w:numPr>
        <w:ind w:left="360"/>
      </w:pPr>
      <w:r>
        <w:t>Choi WJ, Hwang SJ, Song JG, et al. Radiofrequency treatment relieves chronic knee osteoarthritis pain: a double-blind randomized controlled trial. Pain. 2011 Mar;152(3):481-7. doi: 10.1016/j.pain.2010.09.029. Epub 2010 Nov 4.</w:t>
      </w:r>
    </w:p>
    <w:p w14:paraId="2FB93DDF" w14:textId="5F676B18" w:rsidR="007D0C4C" w:rsidRDefault="007D0C4C" w:rsidP="007D0C4C">
      <w:pPr>
        <w:pStyle w:val="ListParagraph"/>
        <w:numPr>
          <w:ilvl w:val="0"/>
          <w:numId w:val="21"/>
        </w:numPr>
        <w:ind w:left="360"/>
      </w:pPr>
      <w:r>
        <w:t xml:space="preserve">Kucera TJ, Boezaart AP. </w:t>
      </w:r>
      <w:r w:rsidRPr="007D0C4C">
        <w:t>Regional anesthesia does not consistently block ischemic pain: two further cases and a review of the literature.</w:t>
      </w:r>
      <w:r>
        <w:t xml:space="preserve"> </w:t>
      </w:r>
      <w:r w:rsidRPr="00135837">
        <w:rPr>
          <w:i/>
        </w:rPr>
        <w:t>Pain Med.</w:t>
      </w:r>
      <w:r w:rsidRPr="007D0C4C">
        <w:t xml:space="preserve"> 2014 Feb;15(2):316-9. doi: 10.1111/pme.12235. Epub 2013 Sep 18. </w:t>
      </w:r>
    </w:p>
    <w:p w14:paraId="0CCAA5BC" w14:textId="1605551E" w:rsidR="00C90A73" w:rsidRDefault="00C90A73" w:rsidP="00C90A73">
      <w:pPr>
        <w:pStyle w:val="ListParagraph"/>
        <w:numPr>
          <w:ilvl w:val="0"/>
          <w:numId w:val="21"/>
        </w:numPr>
        <w:ind w:left="360"/>
      </w:pPr>
      <w:r w:rsidRPr="00C90A73">
        <w:t xml:space="preserve">McGreevy, K., Hurley, R.W., Erdek, M.A., Aner, M.M., Li, S., and Cohen, S.P. The effectiveness of repeat celiac plexus neurolysis for pancreatic cancer: a pilot study. </w:t>
      </w:r>
      <w:r w:rsidRPr="00C90A73">
        <w:rPr>
          <w:i/>
        </w:rPr>
        <w:t>Pain Pract.</w:t>
      </w:r>
      <w:r w:rsidRPr="00C90A73">
        <w:t xml:space="preserve"> 2013 Feb; 13: 89–95</w:t>
      </w:r>
    </w:p>
    <w:p w14:paraId="3BFD7A5F" w14:textId="2FCAA938" w:rsidR="007D0C4C" w:rsidRDefault="007D0C4C">
      <w:pPr>
        <w:pStyle w:val="ListParagraph"/>
        <w:numPr>
          <w:ilvl w:val="0"/>
          <w:numId w:val="21"/>
        </w:numPr>
        <w:ind w:left="360"/>
      </w:pPr>
      <w:r>
        <w:t xml:space="preserve">Gonzalez Sotelo V, Maculée F, Minguell J, et al. Ultrasound-guided genicular nerve block for pain control after total knee replacement: Preliminary case series and technical note. </w:t>
      </w:r>
      <w:r w:rsidRPr="00F231B4">
        <w:rPr>
          <w:i/>
        </w:rPr>
        <w:t>Rev Esp Anestesiol Reanim</w:t>
      </w:r>
      <w:r>
        <w:t xml:space="preserve">. 2017 May 26 </w:t>
      </w:r>
    </w:p>
    <w:p w14:paraId="4FA863F2" w14:textId="0AF40834" w:rsidR="002F3497" w:rsidRDefault="002F3497" w:rsidP="002F3497">
      <w:pPr>
        <w:pStyle w:val="ListParagraph"/>
        <w:numPr>
          <w:ilvl w:val="0"/>
          <w:numId w:val="21"/>
        </w:numPr>
        <w:ind w:left="360"/>
      </w:pPr>
      <w:r>
        <w:t xml:space="preserve">Garza I.  Occipital neuralgia.   UpToDate. Waltham, MA. August 2017.  Accessed </w:t>
      </w:r>
      <w:r w:rsidR="004A55D9">
        <w:t>July 19, 2019.</w:t>
      </w:r>
      <w:r w:rsidR="003B77C9">
        <w:t xml:space="preserve">  </w:t>
      </w:r>
    </w:p>
    <w:p w14:paraId="0A0F137C" w14:textId="4CEE10F7" w:rsidR="002F3497" w:rsidRDefault="002F3497" w:rsidP="002F3497">
      <w:pPr>
        <w:pStyle w:val="ListParagraph"/>
        <w:numPr>
          <w:ilvl w:val="0"/>
          <w:numId w:val="21"/>
        </w:numPr>
        <w:ind w:left="360"/>
      </w:pPr>
      <w:r>
        <w:t xml:space="preserve">Rosenblatt MA. Nerve Blocks of Scalp, Neck, and Trunk: Techniques. UpToDate. Waltham, MA. </w:t>
      </w:r>
      <w:r w:rsidR="007465C1">
        <w:t>April 27, 2018. Accessed Aug 17, 2018</w:t>
      </w:r>
      <w:r>
        <w:t xml:space="preserve">. </w:t>
      </w:r>
      <w:r w:rsidR="003B77C9">
        <w:t>Updated June, 2019</w:t>
      </w:r>
    </w:p>
    <w:p w14:paraId="7F6B23FB" w14:textId="4EEB6192" w:rsidR="00853817" w:rsidRPr="00377C5B" w:rsidRDefault="00853817" w:rsidP="002F3497">
      <w:pPr>
        <w:numPr>
          <w:ilvl w:val="0"/>
          <w:numId w:val="21"/>
        </w:numPr>
        <w:ind w:left="360"/>
      </w:pPr>
      <w:r w:rsidRPr="00377C5B">
        <w:t xml:space="preserve">Abdi S.  Complex regional pain syndrome in adults: Pathogenesis, clinical manifestations and diagnosis.  In: UptoDate, Shefner JM (Ed), UpToDate.  Waltham, MA.  Accessed </w:t>
      </w:r>
      <w:r w:rsidR="00F1340C">
        <w:t>July 19, 2019.</w:t>
      </w:r>
    </w:p>
    <w:p w14:paraId="4C504D44" w14:textId="370AFE19" w:rsidR="00853817" w:rsidRDefault="00853817" w:rsidP="002F3497">
      <w:pPr>
        <w:numPr>
          <w:ilvl w:val="0"/>
          <w:numId w:val="21"/>
        </w:numPr>
        <w:ind w:left="360"/>
      </w:pPr>
      <w:r w:rsidRPr="00377C5B">
        <w:t xml:space="preserve">Abdi S. Complex regional pain syndrome in adults: Prevention and management. In: UptoDate, Shefner JM (Ed), UpToDate. Waltham, MA. Accessed </w:t>
      </w:r>
      <w:r w:rsidR="00F1340C">
        <w:t>July 19, 2019.</w:t>
      </w:r>
    </w:p>
    <w:p w14:paraId="3FB117EC" w14:textId="3BC2D9AD" w:rsidR="00853817" w:rsidRPr="00377C5B" w:rsidRDefault="00853817" w:rsidP="002F3497">
      <w:pPr>
        <w:numPr>
          <w:ilvl w:val="0"/>
          <w:numId w:val="21"/>
        </w:numPr>
        <w:ind w:left="360"/>
      </w:pPr>
      <w:r w:rsidRPr="00377C5B">
        <w:rPr>
          <w:lang w:val="es-MX"/>
        </w:rPr>
        <w:t xml:space="preserve">Fernandez-del Castillo C, Jimenez RE. </w:t>
      </w:r>
      <w:r w:rsidRPr="00377C5B">
        <w:t xml:space="preserve">Supportive care of the patient with </w:t>
      </w:r>
      <w:r w:rsidR="00F75335">
        <w:t xml:space="preserve">locally advanced or metastatic </w:t>
      </w:r>
      <w:r w:rsidRPr="00377C5B">
        <w:t xml:space="preserve">exocrine pancreatic cancer.  In: UpToDate, LaMont JT, Goldberg RM (Ed), UpToDate, Waltham, MA. </w:t>
      </w:r>
      <w:r w:rsidR="00237154">
        <w:t xml:space="preserve">Jul. 13, 2018. </w:t>
      </w:r>
      <w:r w:rsidRPr="00377C5B">
        <w:t xml:space="preserve">Accessed </w:t>
      </w:r>
      <w:r w:rsidR="00CE4677">
        <w:t>July 19, 2019</w:t>
      </w:r>
      <w:r w:rsidR="00237154">
        <w:t>.</w:t>
      </w:r>
      <w:r w:rsidRPr="00377C5B">
        <w:t xml:space="preserve">  </w:t>
      </w:r>
    </w:p>
    <w:p w14:paraId="07EF99FF" w14:textId="673CDBD2" w:rsidR="00853817" w:rsidRPr="00377C5B" w:rsidRDefault="00853817" w:rsidP="002F3497">
      <w:pPr>
        <w:numPr>
          <w:ilvl w:val="0"/>
          <w:numId w:val="21"/>
        </w:numPr>
        <w:ind w:left="360"/>
      </w:pPr>
      <w:r w:rsidRPr="00377C5B">
        <w:t xml:space="preserve">Freedman SD.  Treatment of chronic pancreatitis.  In: UpToDate, Whitcomb DC (Ed), Waltham, MA.  </w:t>
      </w:r>
      <w:r w:rsidR="00A74981">
        <w:t xml:space="preserve">Oct. 24, 2016. </w:t>
      </w:r>
      <w:r w:rsidRPr="00377C5B">
        <w:t xml:space="preserve">Accessed </w:t>
      </w:r>
      <w:r w:rsidR="00480C23">
        <w:t>July 19, 2019.</w:t>
      </w:r>
      <w:r w:rsidRPr="00377C5B">
        <w:t xml:space="preserve">  </w:t>
      </w:r>
    </w:p>
    <w:p w14:paraId="0DF37646" w14:textId="7D8C1D26" w:rsidR="00853817" w:rsidRDefault="00853817" w:rsidP="002F3497">
      <w:pPr>
        <w:numPr>
          <w:ilvl w:val="0"/>
          <w:numId w:val="21"/>
        </w:numPr>
        <w:ind w:left="360"/>
      </w:pPr>
      <w:r>
        <w:t>Hayes Medical Technol</w:t>
      </w:r>
      <w:r w:rsidR="00762FD0">
        <w:t>ogy Directory.  Local Injection</w:t>
      </w:r>
      <w:r>
        <w:t xml:space="preserve"> Therapy for Cervicogenic Headache and Occipital Neuralgia. </w:t>
      </w:r>
      <w:r w:rsidR="00762FD0">
        <w:t>September 28, 2017.</w:t>
      </w:r>
      <w:r w:rsidR="005C5A16">
        <w:t xml:space="preserve">  Accessed July 19, 2019.</w:t>
      </w:r>
    </w:p>
    <w:p w14:paraId="500D1C77" w14:textId="77777777" w:rsidR="00853817" w:rsidRDefault="00853817" w:rsidP="002F3497">
      <w:pPr>
        <w:numPr>
          <w:ilvl w:val="0"/>
          <w:numId w:val="21"/>
        </w:numPr>
        <w:ind w:left="360"/>
      </w:pPr>
      <w:r>
        <w:t>Hayes Medical Technology Directory.  Nerve Blocks for the Treatment of Chronic Nonmalignant Pain. September 22, 2011. Annual Review August 2, 2015. Accessed July 15, 2016. Archived Oct. 2016</w:t>
      </w:r>
    </w:p>
    <w:p w14:paraId="2F666DC9" w14:textId="3D5F8A18" w:rsidR="002F3497" w:rsidRDefault="002F3497" w:rsidP="002F3497">
      <w:pPr>
        <w:numPr>
          <w:ilvl w:val="0"/>
          <w:numId w:val="21"/>
        </w:numPr>
        <w:ind w:left="360"/>
      </w:pPr>
      <w:r w:rsidRPr="00377C5B">
        <w:t xml:space="preserve">Soloman M, Mekhail MN, Mekhail N. Radiofrequency treatment in chronic pain.  </w:t>
      </w:r>
      <w:r w:rsidRPr="00135837">
        <w:rPr>
          <w:i/>
        </w:rPr>
        <w:t>Expert Rev Neurother.</w:t>
      </w:r>
      <w:r w:rsidRPr="00377C5B">
        <w:t xml:space="preserve"> 2010;10(3):469-474.  Accessed online at: </w:t>
      </w:r>
      <w:hyperlink r:id="rId15" w:history="1">
        <w:r w:rsidRPr="00F26314">
          <w:rPr>
            <w:rStyle w:val="Hyperlink"/>
          </w:rPr>
          <w:t>http://www.medscape</w:t>
        </w:r>
        <w:r w:rsidRPr="00F26314">
          <w:rPr>
            <w:rStyle w:val="Hyperlink"/>
          </w:rPr>
          <w:t>.</w:t>
        </w:r>
        <w:r w:rsidRPr="00F26314">
          <w:rPr>
            <w:rStyle w:val="Hyperlink"/>
          </w:rPr>
          <w:t>com/viewarticle/718292_1</w:t>
        </w:r>
      </w:hyperlink>
      <w:r w:rsidRPr="00377C5B">
        <w:t xml:space="preserve"> </w:t>
      </w:r>
    </w:p>
    <w:p w14:paraId="078E8653" w14:textId="77777777" w:rsidR="00A74981" w:rsidRDefault="00A74981" w:rsidP="002F3497">
      <w:pPr>
        <w:numPr>
          <w:ilvl w:val="0"/>
          <w:numId w:val="21"/>
        </w:numPr>
        <w:ind w:left="360"/>
      </w:pPr>
      <w:r>
        <w:t>Portenoy RK. Cancer pain management: Interventional therapies. In: UpToDate. Abraham J, Fishman S (Eds.). Dec. 20, 2017. Accessed Aug. 20, 2018.</w:t>
      </w:r>
    </w:p>
    <w:p w14:paraId="01C3CA84" w14:textId="77777777" w:rsidR="00173ADE" w:rsidRDefault="00173ADE" w:rsidP="000A320E">
      <w:pPr>
        <w:numPr>
          <w:ilvl w:val="0"/>
          <w:numId w:val="21"/>
        </w:numPr>
        <w:ind w:left="360"/>
      </w:pPr>
      <w:r w:rsidRPr="00173ADE">
        <w:t>Lavu H, Lengel HB, Sell NM</w:t>
      </w:r>
      <w:r>
        <w:t xml:space="preserve">, et al. </w:t>
      </w:r>
      <w:r w:rsidRPr="00173ADE">
        <w:t>A prospective, randomized, double-blind, placebo controlled trial on the efficacy of ethanol celiac plexus neurolysis in patients with operable pancreatic and periampullary adenocarcinoma</w:t>
      </w:r>
      <w:r w:rsidRPr="00135837">
        <w:rPr>
          <w:i/>
        </w:rPr>
        <w:t>. J Am Coll Surg</w:t>
      </w:r>
      <w:r w:rsidRPr="00173ADE">
        <w:t>. 2015 Apr;220(4):497-508. doi: 10.1016/j.jamcollsurg.2014.12.013. Epub 2014 Dec 17.</w:t>
      </w:r>
    </w:p>
    <w:p w14:paraId="4F3CCB72" w14:textId="77777777" w:rsidR="00173ADE" w:rsidRDefault="00173ADE" w:rsidP="000A320E">
      <w:pPr>
        <w:numPr>
          <w:ilvl w:val="0"/>
          <w:numId w:val="21"/>
        </w:numPr>
        <w:ind w:left="360"/>
      </w:pPr>
      <w:r w:rsidRPr="00173ADE">
        <w:t>Wyse JM, Carone M, Paquin SC, Usatii M, Sahai AV</w:t>
      </w:r>
      <w:r>
        <w:t xml:space="preserve">. </w:t>
      </w:r>
      <w:r w:rsidRPr="00173ADE">
        <w:t>Randomized, double-blind, controlled trial of early endoscopic ultrasound-guided celiac plexus neurolysis to prevent pain progression in patients with newly diagnosed, painful, inoperable pancreatic cancer.</w:t>
      </w:r>
      <w:r>
        <w:t xml:space="preserve"> </w:t>
      </w:r>
      <w:r w:rsidRPr="00135837">
        <w:rPr>
          <w:i/>
        </w:rPr>
        <w:t>J Clin Oncol.</w:t>
      </w:r>
      <w:r w:rsidRPr="00173ADE">
        <w:t xml:space="preserve"> 2011;29(26):3541. Epub 2011 Aug 15</w:t>
      </w:r>
      <w:r w:rsidR="000A320E">
        <w:t xml:space="preserve">. </w:t>
      </w:r>
    </w:p>
    <w:p w14:paraId="0FFAB5E0" w14:textId="77777777" w:rsidR="009D5635" w:rsidRDefault="00601FAA" w:rsidP="009D5635">
      <w:pPr>
        <w:pStyle w:val="ListParagraph"/>
        <w:numPr>
          <w:ilvl w:val="0"/>
          <w:numId w:val="21"/>
        </w:numPr>
        <w:ind w:left="360"/>
      </w:pPr>
      <w:r w:rsidRPr="00601FAA">
        <w:t>American Society of Anesthesiologists: Practice guidelines for chronic pain management. Anesthesiology 1997; 86:995–1004</w:t>
      </w:r>
      <w:r w:rsidR="009D5635">
        <w:t>.</w:t>
      </w:r>
    </w:p>
    <w:p w14:paraId="3D881A1F" w14:textId="51930384" w:rsidR="009324EB" w:rsidRDefault="009324EB" w:rsidP="009D5635">
      <w:pPr>
        <w:pStyle w:val="ListParagraph"/>
        <w:numPr>
          <w:ilvl w:val="0"/>
          <w:numId w:val="21"/>
        </w:numPr>
        <w:ind w:left="360"/>
      </w:pPr>
      <w:r w:rsidRPr="00652DAD">
        <w:t xml:space="preserve">International Headache Society (IHS). IHS classification ICHD-3 beta: 13.4 occipital neuralgia. 2016b. Available at: </w:t>
      </w:r>
      <w:hyperlink r:id="rId16" w:history="1">
        <w:r w:rsidRPr="005E034A">
          <w:rPr>
            <w:rStyle w:val="Hyperlink"/>
          </w:rPr>
          <w:t>https</w:t>
        </w:r>
        <w:bookmarkStart w:id="23" w:name="_GoBack"/>
        <w:bookmarkEnd w:id="23"/>
        <w:r w:rsidRPr="005E034A">
          <w:rPr>
            <w:rStyle w:val="Hyperlink"/>
          </w:rPr>
          <w:t>:</w:t>
        </w:r>
        <w:r w:rsidRPr="005E034A">
          <w:rPr>
            <w:rStyle w:val="Hyperlink"/>
          </w:rPr>
          <w:t>//ichd-3.org/13-painful-cranial-neuropathies-and-other-facial-pains/13-4-occipital-neuralgia/</w:t>
        </w:r>
      </w:hyperlink>
      <w:r w:rsidRPr="00652DAD">
        <w:t>.</w:t>
      </w:r>
      <w:r>
        <w:t xml:space="preserve"> </w:t>
      </w:r>
      <w:r w:rsidRPr="00652DAD">
        <w:t xml:space="preserve"> Accessed</w:t>
      </w:r>
      <w:r>
        <w:t xml:space="preserve"> July 19, 2019.</w:t>
      </w:r>
    </w:p>
    <w:p w14:paraId="200519CD" w14:textId="77777777" w:rsidR="00D23FD5" w:rsidRPr="00D23FD5" w:rsidRDefault="00D23FD5" w:rsidP="009D5635">
      <w:pPr>
        <w:pStyle w:val="ListParagraph"/>
        <w:numPr>
          <w:ilvl w:val="0"/>
          <w:numId w:val="21"/>
        </w:numPr>
        <w:ind w:left="360"/>
        <w:rPr>
          <w:rFonts w:ascii="Lato" w:hAnsi="Lato" w:cs="Helvetica"/>
          <w:color w:val="333333"/>
          <w:lang w:val="en"/>
        </w:rPr>
      </w:pPr>
      <w:r w:rsidRPr="00D23FD5">
        <w:rPr>
          <w:rFonts w:ascii="Lato" w:hAnsi="Lato" w:cs="Helvetica"/>
          <w:color w:val="333333"/>
          <w:lang w:val="en"/>
        </w:rPr>
        <w:t xml:space="preserve">Practice Guidelines for Chronic Pain Management: An Updated Report by the American Society of Anesthesiologists Task Force on Chronic Pain Management and the American Society of Regional Anesthesia and Pain Medicine*. </w:t>
      </w:r>
      <w:r w:rsidRPr="00D23FD5">
        <w:rPr>
          <w:rFonts w:ascii="Lato" w:hAnsi="Lato" w:cs="Helvetica"/>
          <w:i/>
          <w:iCs/>
          <w:color w:val="333333"/>
          <w:lang w:val="en"/>
        </w:rPr>
        <w:t>Anesthesiology</w:t>
      </w:r>
      <w:r w:rsidRPr="00D23FD5">
        <w:rPr>
          <w:rFonts w:ascii="Lato" w:hAnsi="Lato" w:cs="Helvetica"/>
          <w:color w:val="333333"/>
          <w:lang w:val="en"/>
        </w:rPr>
        <w:t xml:space="preserve"> 2010;112(4):810-833. doi: 10.1097/ALN.0b013e3181c43103.</w:t>
      </w:r>
    </w:p>
    <w:p w14:paraId="6E4F239D" w14:textId="77777777" w:rsidR="00D23FD5" w:rsidRDefault="00D23FD5" w:rsidP="009D5635">
      <w:pPr>
        <w:pStyle w:val="ListParagraph"/>
      </w:pPr>
    </w:p>
    <w:p w14:paraId="0A836B75" w14:textId="77777777" w:rsidR="00DD6ADB" w:rsidRPr="00146C6E" w:rsidRDefault="00C06257" w:rsidP="00146C6E">
      <w:pPr>
        <w:rPr>
          <w:rFonts w:eastAsiaTheme="minorHAnsi"/>
          <w:b/>
          <w:u w:val="single"/>
        </w:rPr>
      </w:pPr>
      <w:bookmarkStart w:id="24" w:name="Important_Reminder"/>
      <w:r w:rsidRPr="00146C6E">
        <w:rPr>
          <w:rFonts w:eastAsiaTheme="minorHAnsi"/>
          <w:b/>
          <w:bCs/>
          <w:u w:val="single"/>
        </w:rPr>
        <w:t>Important R</w:t>
      </w:r>
      <w:r w:rsidR="005D7B81" w:rsidRPr="00146C6E">
        <w:rPr>
          <w:rFonts w:eastAsiaTheme="minorHAnsi"/>
          <w:b/>
          <w:bCs/>
          <w:u w:val="single"/>
        </w:rPr>
        <w:t>eminder</w:t>
      </w:r>
      <w:bookmarkEnd w:id="24"/>
    </w:p>
    <w:p w14:paraId="6EBE106A" w14:textId="77777777" w:rsidR="00DD6ADB" w:rsidRPr="00146C6E" w:rsidRDefault="00DD6ADB" w:rsidP="00146C6E">
      <w:pPr>
        <w:rPr>
          <w:rFonts w:eastAsiaTheme="minorHAnsi"/>
        </w:rPr>
      </w:pPr>
      <w:r w:rsidRPr="00146C6E">
        <w:rPr>
          <w:rFonts w:eastAsiaTheme="minorHAnsi"/>
        </w:rPr>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rFonts w:eastAsiaTheme="minorHAnsi"/>
          <w:iCs/>
        </w:rPr>
        <w:t>The Health Plan</w:t>
      </w:r>
      <w:r w:rsidRPr="00146C6E">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0C889318" w14:textId="77777777" w:rsidR="00DD6ADB" w:rsidRPr="00146C6E" w:rsidRDefault="00DD6ADB" w:rsidP="00146C6E">
      <w:pPr>
        <w:rPr>
          <w:rFonts w:eastAsiaTheme="minorHAnsi"/>
        </w:rPr>
      </w:pPr>
    </w:p>
    <w:p w14:paraId="6E7FB870" w14:textId="77777777" w:rsidR="00DD6ADB" w:rsidRPr="00146C6E" w:rsidRDefault="00DD6ADB" w:rsidP="00146C6E">
      <w:pPr>
        <w:rPr>
          <w:rFonts w:eastAsiaTheme="minorHAnsi"/>
        </w:rPr>
      </w:pPr>
      <w:r w:rsidRPr="00146C6E">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34D38DC9" w14:textId="77777777" w:rsidR="00DD6ADB" w:rsidRPr="00146C6E" w:rsidRDefault="00DD6ADB" w:rsidP="00146C6E">
      <w:pPr>
        <w:rPr>
          <w:rFonts w:eastAsiaTheme="minorHAnsi"/>
        </w:rPr>
      </w:pPr>
    </w:p>
    <w:p w14:paraId="32F31D7B" w14:textId="77777777" w:rsidR="00DD6ADB" w:rsidRPr="00146C6E" w:rsidRDefault="00DD6ADB" w:rsidP="00146C6E">
      <w:pPr>
        <w:rPr>
          <w:color w:val="002868"/>
        </w:rPr>
      </w:pPr>
      <w:r w:rsidRPr="00146C6E">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33BEB9C5" w14:textId="77777777" w:rsidR="00DD6ADB" w:rsidRPr="00146C6E" w:rsidRDefault="00DD6ADB" w:rsidP="00146C6E">
      <w:pPr>
        <w:rPr>
          <w:rFonts w:eastAsiaTheme="minorHAnsi"/>
        </w:rPr>
      </w:pPr>
    </w:p>
    <w:p w14:paraId="36E99C59" w14:textId="77777777" w:rsidR="00DD6ADB" w:rsidRPr="00146C6E" w:rsidRDefault="00DD6ADB" w:rsidP="00146C6E">
      <w:pPr>
        <w:rPr>
          <w:rFonts w:eastAsiaTheme="minorHAnsi"/>
        </w:rPr>
      </w:pPr>
      <w:r w:rsidRPr="00146C6E">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3B1FDDBF" w14:textId="77777777" w:rsidR="00DD6ADB" w:rsidRPr="00146C6E" w:rsidRDefault="00DD6ADB" w:rsidP="00146C6E">
      <w:pPr>
        <w:rPr>
          <w:rFonts w:eastAsiaTheme="minorHAnsi"/>
        </w:rPr>
      </w:pPr>
    </w:p>
    <w:p w14:paraId="508AB2F1" w14:textId="77777777" w:rsidR="00DD6ADB" w:rsidRPr="00146C6E" w:rsidRDefault="00DD6ADB" w:rsidP="00146C6E">
      <w:pPr>
        <w:rPr>
          <w:rFonts w:eastAsiaTheme="minorHAnsi"/>
        </w:rPr>
      </w:pPr>
      <w:r w:rsidRPr="00146C6E">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73FF971F" w14:textId="77777777" w:rsidR="00DD6ADB" w:rsidRPr="00146C6E" w:rsidRDefault="00DD6ADB" w:rsidP="00146C6E">
      <w:pPr>
        <w:rPr>
          <w:rFonts w:eastAsiaTheme="minorHAnsi"/>
        </w:rPr>
      </w:pPr>
    </w:p>
    <w:p w14:paraId="2F557CB8" w14:textId="77777777" w:rsidR="00DD6ADB" w:rsidRPr="00146C6E" w:rsidRDefault="00DD6ADB" w:rsidP="00146C6E">
      <w:pPr>
        <w:rPr>
          <w:rFonts w:eastAsiaTheme="minorHAnsi"/>
        </w:rPr>
      </w:pPr>
      <w:r w:rsidRPr="00146C6E">
        <w:rPr>
          <w:rFonts w:eastAsiaTheme="minorHAnsi"/>
        </w:rPr>
        <w:t xml:space="preserve">This clinical policy is the property of </w:t>
      </w:r>
      <w:r w:rsidRPr="00146C6E">
        <w:rPr>
          <w:rFonts w:eastAsiaTheme="minorHAnsi"/>
          <w:iCs/>
        </w:rPr>
        <w:t>the Health Plan</w:t>
      </w:r>
      <w:r w:rsidRPr="00146C6E">
        <w:rPr>
          <w:rFonts w:eastAsiaTheme="minorHAnsi"/>
        </w:rPr>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7D9E6D71" w14:textId="77777777" w:rsidR="00DD6ADB" w:rsidRPr="00146C6E" w:rsidRDefault="00DD6ADB" w:rsidP="00146C6E">
      <w:pPr>
        <w:autoSpaceDE w:val="0"/>
        <w:autoSpaceDN w:val="0"/>
        <w:adjustRightInd w:val="0"/>
        <w:rPr>
          <w:rFonts w:eastAsiaTheme="minorHAnsi"/>
          <w:color w:val="000000"/>
        </w:rPr>
      </w:pPr>
    </w:p>
    <w:p w14:paraId="41D976A5" w14:textId="77777777" w:rsidR="00DD6ADB" w:rsidRPr="00146C6E" w:rsidRDefault="00DD6ADB" w:rsidP="00146C6E">
      <w:pPr>
        <w:autoSpaceDE w:val="0"/>
        <w:autoSpaceDN w:val="0"/>
        <w:adjustRightInd w:val="0"/>
        <w:rPr>
          <w:rFonts w:eastAsiaTheme="minorHAnsi"/>
          <w:color w:val="000000"/>
        </w:rPr>
      </w:pPr>
      <w:r w:rsidRPr="00146C6E">
        <w:rPr>
          <w:rFonts w:eastAsiaTheme="minorHAnsi"/>
          <w:b/>
          <w:color w:val="000000"/>
        </w:rPr>
        <w:t>Note: For Medicaid members</w:t>
      </w:r>
      <w:r w:rsidRPr="00146C6E">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4EA975AD" w14:textId="77777777" w:rsidR="00DD6ADB" w:rsidRPr="00146C6E" w:rsidRDefault="00DD6ADB" w:rsidP="00146C6E">
      <w:pPr>
        <w:rPr>
          <w:rFonts w:eastAsiaTheme="minorHAnsi"/>
        </w:rPr>
      </w:pPr>
    </w:p>
    <w:p w14:paraId="5614509A" w14:textId="77777777" w:rsidR="00DD6ADB" w:rsidRPr="00146C6E" w:rsidRDefault="00DD6ADB" w:rsidP="00146C6E">
      <w:pPr>
        <w:autoSpaceDE w:val="0"/>
        <w:autoSpaceDN w:val="0"/>
        <w:adjustRightInd w:val="0"/>
        <w:rPr>
          <w:color w:val="000000"/>
        </w:rPr>
      </w:pPr>
      <w:r w:rsidRPr="00146C6E">
        <w:rPr>
          <w:rFonts w:eastAsiaTheme="minorHAnsi"/>
          <w:b/>
          <w:bCs/>
          <w:color w:val="000000"/>
        </w:rPr>
        <w:t xml:space="preserve">Note: For Medicare members, </w:t>
      </w:r>
      <w:r w:rsidRPr="00146C6E">
        <w:rPr>
          <w:rFonts w:eastAsiaTheme="minorHAnsi"/>
          <w:color w:val="000000"/>
        </w:rPr>
        <w:t>to ensure consistency with the Medicare National Coverage Determinations (NCD) and Local Coverage Determinations (LCD), all applicable NCDs</w:t>
      </w:r>
      <w:r w:rsidR="002E5306">
        <w:rPr>
          <w:rFonts w:eastAsiaTheme="minorHAnsi"/>
          <w:color w:val="000000"/>
        </w:rPr>
        <w:t>,</w:t>
      </w:r>
      <w:r w:rsidRPr="00146C6E">
        <w:rPr>
          <w:rFonts w:eastAsiaTheme="minorHAnsi"/>
          <w:color w:val="000000"/>
        </w:rPr>
        <w:t xml:space="preserve"> LCDs</w:t>
      </w:r>
      <w:r w:rsidR="002E5306">
        <w:rPr>
          <w:rFonts w:eastAsiaTheme="minorHAnsi"/>
          <w:color w:val="000000"/>
        </w:rPr>
        <w:t xml:space="preserve">, and Medicare Coverage Articles </w:t>
      </w:r>
      <w:r w:rsidRPr="00146C6E">
        <w:rPr>
          <w:rFonts w:eastAsiaTheme="minorHAnsi"/>
          <w:color w:val="000000"/>
        </w:rPr>
        <w:t xml:space="preserve">should be reviewed </w:t>
      </w:r>
      <w:r w:rsidRPr="00146C6E">
        <w:rPr>
          <w:rFonts w:eastAsiaTheme="minorHAnsi"/>
          <w:color w:val="000000"/>
          <w:u w:val="single"/>
        </w:rPr>
        <w:t>prior to</w:t>
      </w:r>
      <w:r w:rsidRPr="00146C6E">
        <w:rPr>
          <w:rFonts w:eastAsiaTheme="minorHAnsi"/>
          <w:color w:val="000000"/>
        </w:rPr>
        <w:t xml:space="preserve"> applying the criteria set forth in this clinical policy. Refer to the CMS website at </w:t>
      </w:r>
      <w:hyperlink r:id="rId17" w:history="1">
        <w:r w:rsidRPr="00146C6E">
          <w:rPr>
            <w:rFonts w:eastAsiaTheme="minorHAnsi"/>
            <w:color w:val="000000"/>
            <w:u w:val="single"/>
          </w:rPr>
          <w:t>http://www.cms.gov</w:t>
        </w:r>
      </w:hyperlink>
      <w:r w:rsidRPr="00146C6E">
        <w:rPr>
          <w:rFonts w:eastAsiaTheme="minorHAnsi"/>
          <w:color w:val="000000"/>
        </w:rPr>
        <w:t xml:space="preserve"> for additional information.</w:t>
      </w:r>
      <w:r w:rsidRPr="00146C6E">
        <w:rPr>
          <w:color w:val="000000"/>
        </w:rPr>
        <w:t xml:space="preserve"> </w:t>
      </w:r>
    </w:p>
    <w:p w14:paraId="64650D38" w14:textId="77777777" w:rsidR="00875924" w:rsidRPr="00146C6E" w:rsidRDefault="00875924" w:rsidP="00146C6E">
      <w:pPr>
        <w:rPr>
          <w:iCs/>
        </w:rPr>
      </w:pPr>
    </w:p>
    <w:p w14:paraId="13B8FF0E" w14:textId="77777777" w:rsidR="00C75BD4" w:rsidRPr="00146C6E" w:rsidRDefault="00CB63DD" w:rsidP="00146C6E">
      <w:pPr>
        <w:rPr>
          <w:iCs/>
        </w:rPr>
      </w:pPr>
      <w:r>
        <w:rPr>
          <w:iCs/>
        </w:rPr>
        <w:t>©2018</w:t>
      </w:r>
      <w:r w:rsidR="00C75BD4" w:rsidRPr="00146C6E">
        <w:rPr>
          <w:iCs/>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00C75BD4" w:rsidRPr="00146C6E">
        <w:rPr>
          <w:iCs/>
          <w:vertAlign w:val="superscript"/>
        </w:rPr>
        <w:t>®</w:t>
      </w:r>
      <w:r w:rsidR="00C75BD4" w:rsidRPr="00146C6E">
        <w:rPr>
          <w:iCs/>
        </w:rPr>
        <w:t xml:space="preserve"> and Centene Corporation</w:t>
      </w:r>
      <w:r w:rsidR="00C75BD4" w:rsidRPr="00146C6E">
        <w:rPr>
          <w:iCs/>
          <w:vertAlign w:val="superscript"/>
        </w:rPr>
        <w:t>®</w:t>
      </w:r>
      <w:r w:rsidR="00C75BD4" w:rsidRPr="00146C6E">
        <w:rPr>
          <w:iCs/>
        </w:rPr>
        <w:t xml:space="preserve"> are registered trademarks exclusively owned by Centene Corporation.</w:t>
      </w:r>
    </w:p>
    <w:p w14:paraId="3B1D6A2B" w14:textId="77777777" w:rsidR="00C75BD4" w:rsidRDefault="00C75BD4" w:rsidP="00AF5490"/>
    <w:sectPr w:rsidR="00C75BD4" w:rsidSect="00CB63DD">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0BD30" w14:textId="77777777" w:rsidR="00801D94" w:rsidRDefault="00801D94">
      <w:r>
        <w:separator/>
      </w:r>
    </w:p>
  </w:endnote>
  <w:endnote w:type="continuationSeparator" w:id="0">
    <w:p w14:paraId="60DA7A0E" w14:textId="77777777" w:rsidR="00801D94" w:rsidRDefault="0080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6BCD" w14:textId="1F2288CD" w:rsidR="00A94397" w:rsidRPr="00D574CA" w:rsidRDefault="00A94397" w:rsidP="00D574CA">
    <w:pPr>
      <w:pStyle w:val="Footer"/>
      <w:jc w:val="center"/>
    </w:pPr>
    <w:r>
      <w:t xml:space="preserve">Page </w:t>
    </w:r>
    <w:r>
      <w:rPr>
        <w:b/>
        <w:bCs/>
      </w:rPr>
      <w:fldChar w:fldCharType="begin"/>
    </w:r>
    <w:r>
      <w:rPr>
        <w:b/>
        <w:bCs/>
      </w:rPr>
      <w:instrText xml:space="preserve"> PAGE </w:instrText>
    </w:r>
    <w:r>
      <w:rPr>
        <w:b/>
        <w:bCs/>
      </w:rPr>
      <w:fldChar w:fldCharType="separate"/>
    </w:r>
    <w:r w:rsidR="00F36466">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F36466">
      <w:rPr>
        <w:b/>
        <w:bCs/>
        <w:noProof/>
      </w:rPr>
      <w:t>11</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059FB" w14:textId="4B0CEBE4" w:rsidR="00A94397" w:rsidRDefault="00A94397" w:rsidP="002C6AAB">
    <w:pPr>
      <w:pStyle w:val="Footer"/>
      <w:jc w:val="center"/>
    </w:pPr>
    <w:r>
      <w:t xml:space="preserve">Page </w:t>
    </w:r>
    <w:r>
      <w:fldChar w:fldCharType="begin"/>
    </w:r>
    <w:r>
      <w:instrText xml:space="preserve"> PAGE   \* MERGEFORMAT </w:instrText>
    </w:r>
    <w:r>
      <w:fldChar w:fldCharType="separate"/>
    </w:r>
    <w:r w:rsidR="00F36466">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F36466">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BC3CC" w14:textId="77777777" w:rsidR="00801D94" w:rsidRDefault="00801D94">
      <w:r>
        <w:separator/>
      </w:r>
    </w:p>
  </w:footnote>
  <w:footnote w:type="continuationSeparator" w:id="0">
    <w:p w14:paraId="4A63FC03" w14:textId="77777777" w:rsidR="00801D94" w:rsidRDefault="0080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25418" w14:textId="77777777" w:rsidR="00A94397" w:rsidRPr="00B777AF" w:rsidRDefault="00A94397"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noProof/>
        <w:color w:val="00548C"/>
      </w:rPr>
      <w:drawing>
        <wp:inline distT="0" distB="0" distL="0" distR="0" wp14:anchorId="7E816823" wp14:editId="45850199">
          <wp:extent cx="914400" cy="238125"/>
          <wp:effectExtent l="0" t="0" r="0"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7580FDBF" w14:textId="77777777" w:rsidR="00A94397" w:rsidRPr="00B777AF" w:rsidRDefault="00A94397" w:rsidP="00B777AF">
    <w:pPr>
      <w:rPr>
        <w:color w:val="00548C"/>
      </w:rPr>
    </w:pPr>
    <w:r>
      <w:rPr>
        <w:rFonts w:ascii="Times New Roman Bold" w:hAnsi="Times New Roman Bold"/>
        <w:b/>
        <w:bCs/>
        <w:color w:val="00548C"/>
      </w:rPr>
      <w:t>Nerve Blocks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19985" w14:textId="77777777" w:rsidR="00A94397" w:rsidRDefault="00A94397" w:rsidP="00B777AF">
    <w:pPr>
      <w:pStyle w:val="Header"/>
      <w:jc w:val="right"/>
    </w:pPr>
    <w:r>
      <w:rPr>
        <w:noProof/>
      </w:rPr>
      <w:drawing>
        <wp:inline distT="0" distB="0" distL="0" distR="0" wp14:anchorId="1A9B203A" wp14:editId="4C301C26">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05733"/>
    <w:multiLevelType w:val="hybridMultilevel"/>
    <w:tmpl w:val="C3D2FEB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12718"/>
    <w:multiLevelType w:val="hybridMultilevel"/>
    <w:tmpl w:val="B686C78E"/>
    <w:lvl w:ilvl="0" w:tplc="43404F0C">
      <w:start w:val="1"/>
      <w:numFmt w:val="upperLetter"/>
      <w:lvlText w:val="%1."/>
      <w:lvlJc w:val="left"/>
      <w:pPr>
        <w:ind w:left="1170" w:hanging="360"/>
      </w:pPr>
      <w:rPr>
        <w:b/>
      </w:rPr>
    </w:lvl>
    <w:lvl w:ilvl="1" w:tplc="AACA72B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C3792"/>
    <w:multiLevelType w:val="hybridMultilevel"/>
    <w:tmpl w:val="4E5A69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09312D"/>
    <w:multiLevelType w:val="hybridMultilevel"/>
    <w:tmpl w:val="6BC4B4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E73F5E"/>
    <w:multiLevelType w:val="hybridMultilevel"/>
    <w:tmpl w:val="8DFA176C"/>
    <w:lvl w:ilvl="0" w:tplc="D1D213E6">
      <w:start w:val="2"/>
      <w:numFmt w:val="upperRoman"/>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71E45"/>
    <w:multiLevelType w:val="hybridMultilevel"/>
    <w:tmpl w:val="F7FAF2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81AFEF2">
      <w:start w:val="1"/>
      <w:numFmt w:val="upperLetter"/>
      <w:lvlText w:val="%3."/>
      <w:lvlJc w:val="left"/>
      <w:pPr>
        <w:ind w:left="2340" w:hanging="360"/>
      </w:pPr>
      <w:rPr>
        <w:rFonts w:hint="default"/>
        <w:b/>
      </w:rPr>
    </w:lvl>
    <w:lvl w:ilvl="3" w:tplc="3574EFD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66100E"/>
    <w:multiLevelType w:val="hybridMultilevel"/>
    <w:tmpl w:val="6BC4B4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D11140"/>
    <w:multiLevelType w:val="hybridMultilevel"/>
    <w:tmpl w:val="7D2ED584"/>
    <w:lvl w:ilvl="0" w:tplc="EBC4535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50D0E"/>
    <w:multiLevelType w:val="hybridMultilevel"/>
    <w:tmpl w:val="07C67C40"/>
    <w:lvl w:ilvl="0" w:tplc="3CCA81F2">
      <w:start w:val="1"/>
      <w:numFmt w:val="upperLetter"/>
      <w:lvlText w:val="%1."/>
      <w:lvlJc w:val="left"/>
      <w:pPr>
        <w:ind w:left="900" w:hanging="360"/>
      </w:pPr>
      <w:rPr>
        <w:rFonts w:hint="default"/>
        <w:b/>
        <w:i w:val="0"/>
        <w:color w:val="auto"/>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1EC3E6D"/>
    <w:multiLevelType w:val="hybridMultilevel"/>
    <w:tmpl w:val="33220D7C"/>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9D308E"/>
    <w:multiLevelType w:val="hybridMultilevel"/>
    <w:tmpl w:val="5EE4D7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6728DD"/>
    <w:multiLevelType w:val="hybridMultilevel"/>
    <w:tmpl w:val="C3D2FEB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8B1A41"/>
    <w:multiLevelType w:val="hybridMultilevel"/>
    <w:tmpl w:val="C08E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97230"/>
    <w:multiLevelType w:val="hybridMultilevel"/>
    <w:tmpl w:val="DACEA4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06578"/>
    <w:multiLevelType w:val="hybridMultilevel"/>
    <w:tmpl w:val="526ED498"/>
    <w:lvl w:ilvl="0" w:tplc="596C12B6">
      <w:start w:val="1"/>
      <w:numFmt w:val="upperLetter"/>
      <w:lvlText w:val="%1."/>
      <w:lvlJc w:val="left"/>
      <w:pPr>
        <w:ind w:left="1170" w:hanging="360"/>
      </w:pPr>
      <w:rPr>
        <w:b/>
      </w:rPr>
    </w:lvl>
    <w:lvl w:ilvl="1" w:tplc="AACA72B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47767B"/>
    <w:multiLevelType w:val="hybridMultilevel"/>
    <w:tmpl w:val="28E07EC6"/>
    <w:lvl w:ilvl="0" w:tplc="0EAAD146">
      <w:start w:val="1"/>
      <w:numFmt w:val="upperRoman"/>
      <w:lvlText w:val="%1."/>
      <w:lvlJc w:val="left"/>
      <w:pPr>
        <w:ind w:left="108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8D269A"/>
    <w:multiLevelType w:val="hybridMultilevel"/>
    <w:tmpl w:val="944E10C6"/>
    <w:lvl w:ilvl="0" w:tplc="7C960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318B4"/>
    <w:multiLevelType w:val="hybridMultilevel"/>
    <w:tmpl w:val="54A82126"/>
    <w:lvl w:ilvl="0" w:tplc="0409000F">
      <w:start w:val="1"/>
      <w:numFmt w:val="decimal"/>
      <w:lvlText w:val="%1."/>
      <w:lvlJc w:val="left"/>
      <w:pPr>
        <w:ind w:left="1710" w:hanging="360"/>
      </w:pPr>
    </w:lvl>
    <w:lvl w:ilvl="1" w:tplc="1338ADEC">
      <w:start w:val="1"/>
      <w:numFmt w:val="low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78A76CBE"/>
    <w:multiLevelType w:val="hybridMultilevel"/>
    <w:tmpl w:val="0248D386"/>
    <w:lvl w:ilvl="0" w:tplc="35345F72">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1E3D0A"/>
    <w:multiLevelType w:val="hybridMultilevel"/>
    <w:tmpl w:val="6CF4423A"/>
    <w:lvl w:ilvl="0" w:tplc="6BAC0802">
      <w:start w:val="1"/>
      <w:numFmt w:val="upperRoman"/>
      <w:lvlText w:val="%1."/>
      <w:lvlJc w:val="left"/>
      <w:pPr>
        <w:ind w:left="720" w:hanging="360"/>
      </w:pPr>
      <w:rPr>
        <w:rFonts w:hint="default"/>
        <w:b/>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821BA3"/>
    <w:multiLevelType w:val="hybridMultilevel"/>
    <w:tmpl w:val="54A82126"/>
    <w:lvl w:ilvl="0" w:tplc="0409000F">
      <w:start w:val="1"/>
      <w:numFmt w:val="decimal"/>
      <w:lvlText w:val="%1."/>
      <w:lvlJc w:val="left"/>
      <w:pPr>
        <w:ind w:left="1710" w:hanging="360"/>
      </w:pPr>
    </w:lvl>
    <w:lvl w:ilvl="1" w:tplc="1338ADEC">
      <w:start w:val="1"/>
      <w:numFmt w:val="low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38"/>
  </w:num>
  <w:num w:numId="2">
    <w:abstractNumId w:val="0"/>
  </w:num>
  <w:num w:numId="3">
    <w:abstractNumId w:val="13"/>
  </w:num>
  <w:num w:numId="4">
    <w:abstractNumId w:val="16"/>
  </w:num>
  <w:num w:numId="5">
    <w:abstractNumId w:val="17"/>
  </w:num>
  <w:num w:numId="6">
    <w:abstractNumId w:val="29"/>
  </w:num>
  <w:num w:numId="7">
    <w:abstractNumId w:val="32"/>
  </w:num>
  <w:num w:numId="8">
    <w:abstractNumId w:val="3"/>
  </w:num>
  <w:num w:numId="9">
    <w:abstractNumId w:val="24"/>
  </w:num>
  <w:num w:numId="10">
    <w:abstractNumId w:val="11"/>
  </w:num>
  <w:num w:numId="11">
    <w:abstractNumId w:val="37"/>
  </w:num>
  <w:num w:numId="12">
    <w:abstractNumId w:val="15"/>
  </w:num>
  <w:num w:numId="13">
    <w:abstractNumId w:val="14"/>
  </w:num>
  <w:num w:numId="14">
    <w:abstractNumId w:val="8"/>
  </w:num>
  <w:num w:numId="15">
    <w:abstractNumId w:val="12"/>
  </w:num>
  <w:num w:numId="16">
    <w:abstractNumId w:val="33"/>
  </w:num>
  <w:num w:numId="17">
    <w:abstractNumId w:val="25"/>
  </w:num>
  <w:num w:numId="18">
    <w:abstractNumId w:val="20"/>
  </w:num>
  <w:num w:numId="19">
    <w:abstractNumId w:val="9"/>
  </w:num>
  <w:num w:numId="20">
    <w:abstractNumId w:val="5"/>
  </w:num>
  <w:num w:numId="21">
    <w:abstractNumId w:val="27"/>
  </w:num>
  <w:num w:numId="22">
    <w:abstractNumId w:val="7"/>
  </w:num>
  <w:num w:numId="23">
    <w:abstractNumId w:val="21"/>
  </w:num>
  <w:num w:numId="24">
    <w:abstractNumId w:val="39"/>
  </w:num>
  <w:num w:numId="25">
    <w:abstractNumId w:val="10"/>
  </w:num>
  <w:num w:numId="26">
    <w:abstractNumId w:val="6"/>
  </w:num>
  <w:num w:numId="27">
    <w:abstractNumId w:val="18"/>
  </w:num>
  <w:num w:numId="28">
    <w:abstractNumId w:val="35"/>
  </w:num>
  <w:num w:numId="29">
    <w:abstractNumId w:val="34"/>
  </w:num>
  <w:num w:numId="30">
    <w:abstractNumId w:val="2"/>
  </w:num>
  <w:num w:numId="31">
    <w:abstractNumId w:val="23"/>
  </w:num>
  <w:num w:numId="32">
    <w:abstractNumId w:val="30"/>
  </w:num>
  <w:num w:numId="33">
    <w:abstractNumId w:val="22"/>
  </w:num>
  <w:num w:numId="34">
    <w:abstractNumId w:val="26"/>
  </w:num>
  <w:num w:numId="35">
    <w:abstractNumId w:val="36"/>
  </w:num>
  <w:num w:numId="36">
    <w:abstractNumId w:val="1"/>
  </w:num>
  <w:num w:numId="37">
    <w:abstractNumId w:val="28"/>
  </w:num>
  <w:num w:numId="38">
    <w:abstractNumId w:val="4"/>
  </w:num>
  <w:num w:numId="39">
    <w:abstractNumId w:val="19"/>
  </w:num>
  <w:num w:numId="4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32D3F"/>
    <w:rsid w:val="000465DE"/>
    <w:rsid w:val="0004733E"/>
    <w:rsid w:val="00060509"/>
    <w:rsid w:val="00083740"/>
    <w:rsid w:val="00091E75"/>
    <w:rsid w:val="00094136"/>
    <w:rsid w:val="000A320E"/>
    <w:rsid w:val="000F10C2"/>
    <w:rsid w:val="001148A8"/>
    <w:rsid w:val="00135837"/>
    <w:rsid w:val="001424CC"/>
    <w:rsid w:val="0014316D"/>
    <w:rsid w:val="00146C6E"/>
    <w:rsid w:val="00170B14"/>
    <w:rsid w:val="00172708"/>
    <w:rsid w:val="00173ADE"/>
    <w:rsid w:val="001818D7"/>
    <w:rsid w:val="00185104"/>
    <w:rsid w:val="001962BE"/>
    <w:rsid w:val="00196689"/>
    <w:rsid w:val="00196935"/>
    <w:rsid w:val="0019746F"/>
    <w:rsid w:val="001D0D34"/>
    <w:rsid w:val="001D70D4"/>
    <w:rsid w:val="001E65CD"/>
    <w:rsid w:val="001E7D12"/>
    <w:rsid w:val="001F5DFD"/>
    <w:rsid w:val="00201E36"/>
    <w:rsid w:val="0020675F"/>
    <w:rsid w:val="002150B1"/>
    <w:rsid w:val="00220736"/>
    <w:rsid w:val="00230FE4"/>
    <w:rsid w:val="00233651"/>
    <w:rsid w:val="00237154"/>
    <w:rsid w:val="00254020"/>
    <w:rsid w:val="0025452A"/>
    <w:rsid w:val="00271677"/>
    <w:rsid w:val="00285997"/>
    <w:rsid w:val="002A39EE"/>
    <w:rsid w:val="002B0255"/>
    <w:rsid w:val="002B0582"/>
    <w:rsid w:val="002B1EC2"/>
    <w:rsid w:val="002B6DEA"/>
    <w:rsid w:val="002C6AAB"/>
    <w:rsid w:val="002D019A"/>
    <w:rsid w:val="002E48E7"/>
    <w:rsid w:val="002E5306"/>
    <w:rsid w:val="002F3497"/>
    <w:rsid w:val="003140D6"/>
    <w:rsid w:val="0031590A"/>
    <w:rsid w:val="003167BF"/>
    <w:rsid w:val="00335DE4"/>
    <w:rsid w:val="00336E37"/>
    <w:rsid w:val="00350F22"/>
    <w:rsid w:val="003625E6"/>
    <w:rsid w:val="00380FC1"/>
    <w:rsid w:val="00382066"/>
    <w:rsid w:val="003840CC"/>
    <w:rsid w:val="003A6A2A"/>
    <w:rsid w:val="003B20F0"/>
    <w:rsid w:val="003B77C9"/>
    <w:rsid w:val="003C6013"/>
    <w:rsid w:val="003D7BE7"/>
    <w:rsid w:val="003F0028"/>
    <w:rsid w:val="003F3D44"/>
    <w:rsid w:val="004146B4"/>
    <w:rsid w:val="00422920"/>
    <w:rsid w:val="00434B82"/>
    <w:rsid w:val="00436865"/>
    <w:rsid w:val="004517AF"/>
    <w:rsid w:val="00472C6C"/>
    <w:rsid w:val="00474A2E"/>
    <w:rsid w:val="00480C09"/>
    <w:rsid w:val="00480C23"/>
    <w:rsid w:val="00493710"/>
    <w:rsid w:val="004945F8"/>
    <w:rsid w:val="00496BCF"/>
    <w:rsid w:val="00497AED"/>
    <w:rsid w:val="004A09E8"/>
    <w:rsid w:val="004A55D9"/>
    <w:rsid w:val="004A7456"/>
    <w:rsid w:val="004C20D9"/>
    <w:rsid w:val="004C7108"/>
    <w:rsid w:val="004E0B99"/>
    <w:rsid w:val="004E7CF7"/>
    <w:rsid w:val="004F6394"/>
    <w:rsid w:val="00505830"/>
    <w:rsid w:val="005103B8"/>
    <w:rsid w:val="00535A74"/>
    <w:rsid w:val="005423D4"/>
    <w:rsid w:val="005537B0"/>
    <w:rsid w:val="005776FD"/>
    <w:rsid w:val="00583376"/>
    <w:rsid w:val="00594A05"/>
    <w:rsid w:val="005B38D5"/>
    <w:rsid w:val="005C17DF"/>
    <w:rsid w:val="005C3607"/>
    <w:rsid w:val="005C5A16"/>
    <w:rsid w:val="005D009F"/>
    <w:rsid w:val="005D5146"/>
    <w:rsid w:val="005D7B81"/>
    <w:rsid w:val="005E411E"/>
    <w:rsid w:val="005E75E1"/>
    <w:rsid w:val="005F051C"/>
    <w:rsid w:val="00601FAA"/>
    <w:rsid w:val="00617160"/>
    <w:rsid w:val="006428DF"/>
    <w:rsid w:val="006474BB"/>
    <w:rsid w:val="00652DAD"/>
    <w:rsid w:val="006664E9"/>
    <w:rsid w:val="00687AB1"/>
    <w:rsid w:val="006A1D61"/>
    <w:rsid w:val="006C3485"/>
    <w:rsid w:val="006C74DF"/>
    <w:rsid w:val="006F4D70"/>
    <w:rsid w:val="007163E2"/>
    <w:rsid w:val="00744250"/>
    <w:rsid w:val="007465C1"/>
    <w:rsid w:val="00762FD0"/>
    <w:rsid w:val="0077256C"/>
    <w:rsid w:val="007764CE"/>
    <w:rsid w:val="007962A1"/>
    <w:rsid w:val="007A0BCC"/>
    <w:rsid w:val="007A395B"/>
    <w:rsid w:val="007B07AE"/>
    <w:rsid w:val="007B50D0"/>
    <w:rsid w:val="007D0503"/>
    <w:rsid w:val="007D0C4C"/>
    <w:rsid w:val="007D1D50"/>
    <w:rsid w:val="007D4801"/>
    <w:rsid w:val="007F1F19"/>
    <w:rsid w:val="00801D94"/>
    <w:rsid w:val="00802057"/>
    <w:rsid w:val="00825D0E"/>
    <w:rsid w:val="00833F3D"/>
    <w:rsid w:val="00853817"/>
    <w:rsid w:val="00857C10"/>
    <w:rsid w:val="00875924"/>
    <w:rsid w:val="00877EC7"/>
    <w:rsid w:val="00881F01"/>
    <w:rsid w:val="00896E94"/>
    <w:rsid w:val="008B0705"/>
    <w:rsid w:val="008C6B3A"/>
    <w:rsid w:val="008C71B0"/>
    <w:rsid w:val="009027CE"/>
    <w:rsid w:val="00902C9B"/>
    <w:rsid w:val="009135E0"/>
    <w:rsid w:val="00915CA4"/>
    <w:rsid w:val="009324EB"/>
    <w:rsid w:val="00950820"/>
    <w:rsid w:val="00953D62"/>
    <w:rsid w:val="00961071"/>
    <w:rsid w:val="00963062"/>
    <w:rsid w:val="009735FA"/>
    <w:rsid w:val="00977ECA"/>
    <w:rsid w:val="00982180"/>
    <w:rsid w:val="009928B2"/>
    <w:rsid w:val="009A0572"/>
    <w:rsid w:val="009C61B2"/>
    <w:rsid w:val="009D1EB8"/>
    <w:rsid w:val="009D5635"/>
    <w:rsid w:val="009D5928"/>
    <w:rsid w:val="009D6E27"/>
    <w:rsid w:val="009E2339"/>
    <w:rsid w:val="009E6F29"/>
    <w:rsid w:val="00A20F73"/>
    <w:rsid w:val="00A21CB4"/>
    <w:rsid w:val="00A32BB8"/>
    <w:rsid w:val="00A41969"/>
    <w:rsid w:val="00A60413"/>
    <w:rsid w:val="00A74981"/>
    <w:rsid w:val="00A82C7D"/>
    <w:rsid w:val="00A83658"/>
    <w:rsid w:val="00A85489"/>
    <w:rsid w:val="00A87B1F"/>
    <w:rsid w:val="00A94397"/>
    <w:rsid w:val="00A96ACC"/>
    <w:rsid w:val="00AA336E"/>
    <w:rsid w:val="00AA428E"/>
    <w:rsid w:val="00AD1AA6"/>
    <w:rsid w:val="00AE0038"/>
    <w:rsid w:val="00AE7899"/>
    <w:rsid w:val="00AF1F2A"/>
    <w:rsid w:val="00AF30EF"/>
    <w:rsid w:val="00AF5490"/>
    <w:rsid w:val="00B170AB"/>
    <w:rsid w:val="00B36AA0"/>
    <w:rsid w:val="00B4633B"/>
    <w:rsid w:val="00B777AF"/>
    <w:rsid w:val="00B8063A"/>
    <w:rsid w:val="00B81789"/>
    <w:rsid w:val="00B854B9"/>
    <w:rsid w:val="00B92DF1"/>
    <w:rsid w:val="00BE38C7"/>
    <w:rsid w:val="00BF4150"/>
    <w:rsid w:val="00C01AA6"/>
    <w:rsid w:val="00C06257"/>
    <w:rsid w:val="00C079B0"/>
    <w:rsid w:val="00C14250"/>
    <w:rsid w:val="00C2297C"/>
    <w:rsid w:val="00C337E8"/>
    <w:rsid w:val="00C64BB4"/>
    <w:rsid w:val="00C73CF5"/>
    <w:rsid w:val="00C75BD4"/>
    <w:rsid w:val="00C83248"/>
    <w:rsid w:val="00C90A73"/>
    <w:rsid w:val="00C91E69"/>
    <w:rsid w:val="00C96847"/>
    <w:rsid w:val="00CA4B04"/>
    <w:rsid w:val="00CA53B9"/>
    <w:rsid w:val="00CA5C08"/>
    <w:rsid w:val="00CB63DD"/>
    <w:rsid w:val="00CE4677"/>
    <w:rsid w:val="00CE5081"/>
    <w:rsid w:val="00CF2624"/>
    <w:rsid w:val="00D23FD5"/>
    <w:rsid w:val="00D36448"/>
    <w:rsid w:val="00D50B6A"/>
    <w:rsid w:val="00D572B2"/>
    <w:rsid w:val="00D574CA"/>
    <w:rsid w:val="00D62EA4"/>
    <w:rsid w:val="00D7066A"/>
    <w:rsid w:val="00D71BC4"/>
    <w:rsid w:val="00D861E2"/>
    <w:rsid w:val="00D93C8F"/>
    <w:rsid w:val="00D95591"/>
    <w:rsid w:val="00DA4AB4"/>
    <w:rsid w:val="00DB1DE9"/>
    <w:rsid w:val="00DB4A61"/>
    <w:rsid w:val="00DB7073"/>
    <w:rsid w:val="00DD025A"/>
    <w:rsid w:val="00DD4CF1"/>
    <w:rsid w:val="00DD6ADB"/>
    <w:rsid w:val="00DD7D7A"/>
    <w:rsid w:val="00DE18E2"/>
    <w:rsid w:val="00E419BF"/>
    <w:rsid w:val="00E80FD4"/>
    <w:rsid w:val="00E90601"/>
    <w:rsid w:val="00E97C17"/>
    <w:rsid w:val="00EA3809"/>
    <w:rsid w:val="00ED09CB"/>
    <w:rsid w:val="00ED0A0D"/>
    <w:rsid w:val="00ED33BD"/>
    <w:rsid w:val="00EE18B1"/>
    <w:rsid w:val="00F03DC0"/>
    <w:rsid w:val="00F07282"/>
    <w:rsid w:val="00F1340C"/>
    <w:rsid w:val="00F26314"/>
    <w:rsid w:val="00F2705D"/>
    <w:rsid w:val="00F36466"/>
    <w:rsid w:val="00F422E1"/>
    <w:rsid w:val="00F622CD"/>
    <w:rsid w:val="00F67BBD"/>
    <w:rsid w:val="00F71F8E"/>
    <w:rsid w:val="00F74762"/>
    <w:rsid w:val="00F75335"/>
    <w:rsid w:val="00F95133"/>
    <w:rsid w:val="00FA7412"/>
    <w:rsid w:val="00FB0148"/>
    <w:rsid w:val="00FB0592"/>
    <w:rsid w:val="00FB139B"/>
    <w:rsid w:val="00FE290A"/>
    <w:rsid w:val="00FF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262E03"/>
  <w15:docId w15:val="{5BC2FC9E-B5D5-457D-9125-128610B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uiPriority w:val="99"/>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 w:type="character" w:customStyle="1" w:styleId="Heading1Char">
    <w:name w:val="Heading 1 Char"/>
    <w:basedOn w:val="DefaultParagraphFont"/>
    <w:link w:val="Heading1"/>
    <w:rsid w:val="00436865"/>
    <w:rPr>
      <w:rFonts w:eastAsia="Arial Unicode MS"/>
      <w:b/>
      <w:bCs/>
      <w:szCs w:val="12"/>
    </w:rPr>
  </w:style>
  <w:style w:type="paragraph" w:styleId="Revision">
    <w:name w:val="Revision"/>
    <w:hidden/>
    <w:uiPriority w:val="99"/>
    <w:semiHidden/>
    <w:rsid w:val="009A0572"/>
    <w:rPr>
      <w:sz w:val="24"/>
      <w:szCs w:val="24"/>
    </w:rPr>
  </w:style>
  <w:style w:type="table" w:customStyle="1" w:styleId="TableGrid1">
    <w:name w:val="Table Grid1"/>
    <w:basedOn w:val="TableNormal"/>
    <w:next w:val="TableGrid"/>
    <w:uiPriority w:val="39"/>
    <w:rsid w:val="00D955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55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955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955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55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80FC1"/>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80FC1"/>
    <w:pPr>
      <w:spacing w:after="100"/>
      <w:ind w:left="240"/>
    </w:pPr>
  </w:style>
  <w:style w:type="paragraph" w:styleId="TOC1">
    <w:name w:val="toc 1"/>
    <w:basedOn w:val="Normal"/>
    <w:next w:val="Normal"/>
    <w:autoRedefine/>
    <w:uiPriority w:val="39"/>
    <w:unhideWhenUsed/>
    <w:rsid w:val="00380FC1"/>
    <w:pPr>
      <w:spacing w:after="100"/>
    </w:pPr>
  </w:style>
  <w:style w:type="paragraph" w:styleId="TOC3">
    <w:name w:val="toc 3"/>
    <w:basedOn w:val="Normal"/>
    <w:next w:val="Normal"/>
    <w:autoRedefine/>
    <w:uiPriority w:val="39"/>
    <w:unhideWhenUsed/>
    <w:rsid w:val="00380FC1"/>
    <w:pPr>
      <w:spacing w:after="100"/>
      <w:ind w:left="480"/>
    </w:pPr>
  </w:style>
  <w:style w:type="character" w:styleId="Emphasis">
    <w:name w:val="Emphasis"/>
    <w:basedOn w:val="DefaultParagraphFont"/>
    <w:uiPriority w:val="20"/>
    <w:qFormat/>
    <w:rsid w:val="00D23F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573977703">
      <w:bodyDiv w:val="1"/>
      <w:marLeft w:val="0"/>
      <w:marRight w:val="0"/>
      <w:marTop w:val="0"/>
      <w:marBottom w:val="0"/>
      <w:divBdr>
        <w:top w:val="none" w:sz="0" w:space="0" w:color="auto"/>
        <w:left w:val="none" w:sz="0" w:space="0" w:color="auto"/>
        <w:bottom w:val="none" w:sz="0" w:space="0" w:color="auto"/>
        <w:right w:val="none" w:sz="0" w:space="0" w:color="auto"/>
      </w:divBdr>
    </w:div>
    <w:div w:id="815805262">
      <w:bodyDiv w:val="1"/>
      <w:marLeft w:val="0"/>
      <w:marRight w:val="0"/>
      <w:marTop w:val="0"/>
      <w:marBottom w:val="0"/>
      <w:divBdr>
        <w:top w:val="none" w:sz="0" w:space="0" w:color="auto"/>
        <w:left w:val="none" w:sz="0" w:space="0" w:color="auto"/>
        <w:bottom w:val="none" w:sz="0" w:space="0" w:color="auto"/>
        <w:right w:val="none" w:sz="0" w:space="0" w:color="auto"/>
      </w:divBdr>
    </w:div>
    <w:div w:id="907230760">
      <w:bodyDiv w:val="1"/>
      <w:marLeft w:val="0"/>
      <w:marRight w:val="0"/>
      <w:marTop w:val="0"/>
      <w:marBottom w:val="0"/>
      <w:divBdr>
        <w:top w:val="none" w:sz="0" w:space="0" w:color="auto"/>
        <w:left w:val="none" w:sz="0" w:space="0" w:color="auto"/>
        <w:bottom w:val="none" w:sz="0" w:space="0" w:color="auto"/>
        <w:right w:val="none" w:sz="0" w:space="0" w:color="auto"/>
      </w:divBdr>
      <w:divsChild>
        <w:div w:id="1921215994">
          <w:marLeft w:val="0"/>
          <w:marRight w:val="0"/>
          <w:marTop w:val="0"/>
          <w:marBottom w:val="0"/>
          <w:divBdr>
            <w:top w:val="none" w:sz="0" w:space="0" w:color="auto"/>
            <w:left w:val="none" w:sz="0" w:space="0" w:color="auto"/>
            <w:bottom w:val="none" w:sz="0" w:space="0" w:color="auto"/>
            <w:right w:val="none" w:sz="0" w:space="0" w:color="auto"/>
          </w:divBdr>
        </w:div>
      </w:divsChild>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15665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ms.gov" TargetMode="External"/><Relationship Id="rId2" Type="http://schemas.openxmlformats.org/officeDocument/2006/relationships/customXml" Target="../customXml/item2.xml"/><Relationship Id="rId16" Type="http://schemas.openxmlformats.org/officeDocument/2006/relationships/hyperlink" Target="https://ichd-3.org/13-painful-cranial-neuropathies-and-other-facial-pains/13-4-occipital-neuralg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edscape.com/viewarticle/718292_1%2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B5E6D-70F5-41BC-A8B9-EC007F28D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CC9996-AFD5-4DC2-9C74-85E05121FC07}">
  <ds:schemaRefs>
    <ds:schemaRef ds:uri="http://schemas.microsoft.com/sharepoint/v3/contenttype/forms"/>
  </ds:schemaRefs>
</ds:datastoreItem>
</file>

<file path=customXml/itemProps3.xml><?xml version="1.0" encoding="utf-8"?>
<ds:datastoreItem xmlns:ds="http://schemas.openxmlformats.org/officeDocument/2006/customXml" ds:itemID="{AA2D3480-5DC3-4E82-9E35-BED600108A26}">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0EED3E45-C23E-4506-A29B-310DBB31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4021</Words>
  <Characters>25053</Characters>
  <Application>Microsoft Office Word</Application>
  <DocSecurity>2</DocSecurity>
  <Lines>208</Lines>
  <Paragraphs>58</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Marianne E. Santoro</cp:lastModifiedBy>
  <cp:revision>2</cp:revision>
  <cp:lastPrinted>2019-07-16T13:08:00Z</cp:lastPrinted>
  <dcterms:created xsi:type="dcterms:W3CDTF">2019-08-26T20:28:00Z</dcterms:created>
  <dcterms:modified xsi:type="dcterms:W3CDTF">2019-08-26T20:28:00Z</dcterms:modified>
</cp:coreProperties>
</file>