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326FF" w14:textId="77777777" w:rsidR="00D574CA" w:rsidRPr="00B777AF" w:rsidRDefault="00230FE4"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Clinic</w:t>
      </w:r>
      <w:r w:rsidRPr="005D7B81">
        <w:rPr>
          <w:rFonts w:ascii="Times New Roman" w:hAnsi="Times New Roman"/>
          <w:color w:val="00548C"/>
          <w:sz w:val="36"/>
        </w:rPr>
        <w:t xml:space="preserve">al </w:t>
      </w:r>
      <w:r>
        <w:rPr>
          <w:rFonts w:ascii="Times New Roman" w:hAnsi="Times New Roman"/>
          <w:color w:val="00548C"/>
          <w:sz w:val="36"/>
        </w:rPr>
        <w:t>Policy:</w:t>
      </w:r>
      <w:r w:rsidR="000E7C3F">
        <w:rPr>
          <w:rFonts w:ascii="Times New Roman" w:hAnsi="Times New Roman"/>
          <w:color w:val="00548C"/>
          <w:sz w:val="36"/>
        </w:rPr>
        <w:t xml:space="preserve"> Sickle Cell Disease Observation</w:t>
      </w:r>
      <w:r>
        <w:rPr>
          <w:rFonts w:ascii="Times New Roman" w:hAnsi="Times New Roman"/>
          <w:color w:val="00548C"/>
          <w:sz w:val="36"/>
        </w:rPr>
        <w:t xml:space="preserve"> </w:t>
      </w:r>
    </w:p>
    <w:p w14:paraId="3C532700" w14:textId="77777777" w:rsidR="00B777AF" w:rsidRDefault="00B777AF" w:rsidP="00D574CA">
      <w:pPr>
        <w:pStyle w:val="PolicyMainHead"/>
        <w:tabs>
          <w:tab w:val="left" w:pos="360"/>
        </w:tabs>
        <w:spacing w:after="0" w:line="240" w:lineRule="auto"/>
        <w:rPr>
          <w:color w:val="00548C"/>
          <w:sz w:val="24"/>
        </w:rPr>
        <w:sectPr w:rsidR="00B777AF" w:rsidSect="00B777AF">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p>
    <w:p w14:paraId="3C532701" w14:textId="77777777" w:rsidR="00B777AF" w:rsidRPr="003D7BE7" w:rsidRDefault="00D574CA" w:rsidP="00480C09">
      <w:pPr>
        <w:pStyle w:val="PolicyMainHead"/>
        <w:spacing w:after="0" w:line="240" w:lineRule="auto"/>
        <w:ind w:left="360"/>
        <w:rPr>
          <w:rFonts w:ascii="Times New Roman" w:hAnsi="Times New Roman"/>
          <w:color w:val="00548C"/>
          <w:sz w:val="24"/>
          <w:szCs w:val="24"/>
        </w:rPr>
        <w:sectPr w:rsidR="00B777AF" w:rsidRPr="003D7BE7" w:rsidSect="00480C09">
          <w:type w:val="continuous"/>
          <w:pgSz w:w="12240" w:h="15840" w:code="1"/>
          <w:pgMar w:top="1440" w:right="1080" w:bottom="1440" w:left="1080" w:header="576" w:footer="288" w:gutter="0"/>
          <w:cols w:num="2" w:space="720"/>
          <w:titlePg/>
          <w:docGrid w:linePitch="360"/>
        </w:sectPr>
      </w:pPr>
      <w:r w:rsidRPr="003D7BE7">
        <w:rPr>
          <w:rFonts w:ascii="Times New Roman" w:hAnsi="Times New Roman"/>
          <w:color w:val="00548C"/>
          <w:sz w:val="24"/>
          <w:szCs w:val="24"/>
        </w:rPr>
        <w:t>Reference Number: CP.</w:t>
      </w:r>
      <w:r w:rsidR="00C96847">
        <w:rPr>
          <w:rFonts w:ascii="Times New Roman" w:hAnsi="Times New Roman"/>
          <w:color w:val="00548C"/>
          <w:sz w:val="24"/>
          <w:szCs w:val="24"/>
        </w:rPr>
        <w:t>MP.</w:t>
      </w:r>
      <w:r w:rsidR="000E7C3F">
        <w:rPr>
          <w:rFonts w:ascii="Times New Roman" w:hAnsi="Times New Roman"/>
          <w:color w:val="00548C"/>
          <w:sz w:val="24"/>
          <w:szCs w:val="24"/>
        </w:rPr>
        <w:t>88</w:t>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p>
    <w:p w14:paraId="087420C0" w14:textId="68D73AFA" w:rsidR="000F737D" w:rsidRDefault="00D574CA" w:rsidP="00D574CA">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0F737D">
        <w:rPr>
          <w:rFonts w:ascii="Times New Roman" w:hAnsi="Times New Roman"/>
          <w:color w:val="00548C"/>
          <w:sz w:val="24"/>
          <w:szCs w:val="24"/>
        </w:rPr>
        <w:t>0</w:t>
      </w:r>
      <w:r w:rsidR="00EF320C">
        <w:rPr>
          <w:rFonts w:ascii="Times New Roman" w:hAnsi="Times New Roman"/>
          <w:color w:val="00548C"/>
          <w:sz w:val="24"/>
          <w:szCs w:val="24"/>
        </w:rPr>
        <w:t>7</w:t>
      </w:r>
      <w:r w:rsidR="000F737D">
        <w:rPr>
          <w:rFonts w:ascii="Times New Roman" w:hAnsi="Times New Roman"/>
          <w:color w:val="00548C"/>
          <w:sz w:val="24"/>
          <w:szCs w:val="24"/>
        </w:rPr>
        <w:t>/19</w:t>
      </w:r>
    </w:p>
    <w:p w14:paraId="3C532703" w14:textId="77777777" w:rsidR="00875924" w:rsidRDefault="000918AE" w:rsidP="00875924">
      <w:pPr>
        <w:pStyle w:val="PolicyMainHead"/>
        <w:tabs>
          <w:tab w:val="left" w:pos="360"/>
        </w:tabs>
        <w:spacing w:after="0" w:line="240" w:lineRule="auto"/>
        <w:jc w:val="right"/>
        <w:rPr>
          <w:rStyle w:val="Strong"/>
          <w:rFonts w:ascii="Times New Roman" w:hAnsi="Times New Roman"/>
          <w:b w:val="0"/>
          <w:bCs w:val="0"/>
          <w:u w:val="single"/>
        </w:rPr>
        <w:sectPr w:rsidR="00875924" w:rsidSect="00875924">
          <w:type w:val="continuous"/>
          <w:pgSz w:w="12240" w:h="15840" w:code="1"/>
          <w:pgMar w:top="1440" w:right="1170" w:bottom="1440" w:left="1440" w:header="576" w:footer="288" w:gutter="0"/>
          <w:cols w:num="2" w:space="720"/>
          <w:titlePg/>
          <w:docGrid w:linePitch="360"/>
        </w:sectPr>
      </w:pPr>
      <w:hyperlink w:anchor="Revision_Log" w:history="1">
        <w:r w:rsidR="007B50D0" w:rsidRPr="003D7BE7">
          <w:rPr>
            <w:rStyle w:val="Hyperlink"/>
            <w:rFonts w:ascii="Times New Roman" w:hAnsi="Times New Roman"/>
            <w:sz w:val="24"/>
            <w:szCs w:val="24"/>
          </w:rPr>
          <w:t>Revision Log</w:t>
        </w:r>
      </w:hyperlink>
      <w:r w:rsidR="00875924">
        <w:rPr>
          <w:rFonts w:ascii="Times New Roman" w:hAnsi="Times New Roman"/>
          <w:color w:val="00548C"/>
          <w:sz w:val="24"/>
          <w:szCs w:val="24"/>
        </w:rPr>
        <w:t xml:space="preserve"> </w:t>
      </w:r>
    </w:p>
    <w:p w14:paraId="3C532704" w14:textId="77777777" w:rsidR="005D7B81" w:rsidRDefault="00032D3F" w:rsidP="00032D3F">
      <w:pPr>
        <w:pStyle w:val="NormalWeb"/>
        <w:tabs>
          <w:tab w:val="left" w:pos="975"/>
        </w:tabs>
        <w:spacing w:before="0" w:beforeAutospacing="0" w:after="0" w:afterAutospacing="0"/>
        <w:rPr>
          <w:rFonts w:ascii="Times New Roman" w:hAnsi="Times New Roman" w:cs="Times New Roman"/>
        </w:rPr>
      </w:pPr>
      <w:r>
        <w:rPr>
          <w:rFonts w:ascii="Times New Roman" w:hAnsi="Times New Roman" w:cs="Times New Roman"/>
        </w:rPr>
        <w:tab/>
      </w:r>
    </w:p>
    <w:p w14:paraId="3C532705" w14:textId="77777777"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14:paraId="3C532706" w14:textId="77777777" w:rsidR="00C73CF5" w:rsidRDefault="00C73CF5" w:rsidP="00875924">
      <w:pPr>
        <w:pStyle w:val="NormalWeb"/>
        <w:spacing w:before="0" w:beforeAutospacing="0" w:after="0" w:afterAutospacing="0"/>
        <w:jc w:val="center"/>
        <w:rPr>
          <w:rStyle w:val="Strong"/>
          <w:rFonts w:ascii="Times New Roman" w:hAnsi="Times New Roman" w:cs="Times New Roman"/>
          <w:b w:val="0"/>
          <w:bCs w:val="0"/>
          <w:u w:val="single"/>
        </w:rPr>
      </w:pPr>
    </w:p>
    <w:p w14:paraId="3C532707" w14:textId="77777777" w:rsidR="00583376" w:rsidRPr="00335F54" w:rsidRDefault="00583376" w:rsidP="00335F54">
      <w:pPr>
        <w:pStyle w:val="Heading1"/>
        <w:rPr>
          <w:sz w:val="24"/>
          <w:szCs w:val="24"/>
        </w:rPr>
      </w:pPr>
      <w:r w:rsidRPr="00335F54">
        <w:rPr>
          <w:sz w:val="24"/>
          <w:szCs w:val="24"/>
        </w:rPr>
        <w:t xml:space="preserve">Description </w:t>
      </w:r>
    </w:p>
    <w:p w14:paraId="3C532708" w14:textId="77777777" w:rsidR="00ED0A0D" w:rsidRDefault="009620AD" w:rsidP="00196935">
      <w:r>
        <w:t>Medical necessity criteria for sickle cell disease observation status.</w:t>
      </w:r>
    </w:p>
    <w:p w14:paraId="3C532709" w14:textId="77777777" w:rsidR="005D7B81" w:rsidRPr="00B777AF" w:rsidRDefault="005D7B81" w:rsidP="00196935"/>
    <w:p w14:paraId="3C53270A" w14:textId="77777777" w:rsidR="00583376" w:rsidRPr="00B777AF" w:rsidRDefault="00583376">
      <w:pPr>
        <w:pStyle w:val="Heading2"/>
        <w:rPr>
          <w:u w:val="none"/>
        </w:rPr>
      </w:pPr>
      <w:r w:rsidRPr="00B777AF">
        <w:rPr>
          <w:u w:val="none"/>
        </w:rPr>
        <w:t>Policy/Criteria</w:t>
      </w:r>
    </w:p>
    <w:p w14:paraId="3C53270B" w14:textId="77777777" w:rsidR="00C96847" w:rsidRDefault="00F74762" w:rsidP="00C96847">
      <w:pPr>
        <w:numPr>
          <w:ilvl w:val="0"/>
          <w:numId w:val="11"/>
        </w:numPr>
        <w:ind w:left="360"/>
      </w:pPr>
      <w:r>
        <w:rPr>
          <w:bCs/>
          <w:color w:val="000000"/>
        </w:rPr>
        <w:t>It is the policy of</w:t>
      </w:r>
      <w:r w:rsidR="00E97C17">
        <w:rPr>
          <w:bCs/>
          <w:color w:val="000000"/>
        </w:rPr>
        <w:t xml:space="preserve"> </w:t>
      </w:r>
      <w:r w:rsidR="00A83658">
        <w:rPr>
          <w:bCs/>
          <w:color w:val="000000"/>
        </w:rPr>
        <w:t>h</w:t>
      </w:r>
      <w:r w:rsidR="00E97C17">
        <w:rPr>
          <w:bCs/>
          <w:color w:val="000000"/>
        </w:rPr>
        <w:t xml:space="preserve">ealth </w:t>
      </w:r>
      <w:r w:rsidR="00A83658">
        <w:rPr>
          <w:bCs/>
          <w:color w:val="000000"/>
        </w:rPr>
        <w:t>p</w:t>
      </w:r>
      <w:r w:rsidR="00E97C17">
        <w:rPr>
          <w:bCs/>
          <w:color w:val="000000"/>
        </w:rPr>
        <w:t>lans affiliated with</w:t>
      </w:r>
      <w:r>
        <w:rPr>
          <w:bCs/>
          <w:color w:val="000000"/>
        </w:rPr>
        <w:t xml:space="preserve"> Centene Corporation</w:t>
      </w:r>
      <w:r w:rsidR="00C75BD4" w:rsidRPr="00C75BD4">
        <w:rPr>
          <w:bCs/>
          <w:color w:val="000000"/>
          <w:vertAlign w:val="superscript"/>
        </w:rPr>
        <w:t>®</w:t>
      </w:r>
      <w:r>
        <w:rPr>
          <w:bCs/>
          <w:color w:val="000000"/>
        </w:rPr>
        <w:t xml:space="preserve"> </w:t>
      </w:r>
      <w:r w:rsidR="00C96847">
        <w:t xml:space="preserve">that </w:t>
      </w:r>
      <w:r w:rsidR="00F424FF">
        <w:t>the observation level of care</w:t>
      </w:r>
      <w:r w:rsidR="00C96847">
        <w:t xml:space="preserve"> is </w:t>
      </w:r>
      <w:r w:rsidR="00C96847" w:rsidRPr="005D6347">
        <w:rPr>
          <w:b/>
        </w:rPr>
        <w:t>medically necessary</w:t>
      </w:r>
      <w:r w:rsidR="00C96847">
        <w:t xml:space="preserve"> </w:t>
      </w:r>
      <w:r w:rsidR="009D5928">
        <w:t xml:space="preserve">for </w:t>
      </w:r>
      <w:r w:rsidR="00F424FF">
        <w:t>members who do not meet inpatient status criteria</w:t>
      </w:r>
      <w:r w:rsidR="00035153">
        <w:t xml:space="preserve"> per a nationally recognized clinical decision making support tool,</w:t>
      </w:r>
      <w:r w:rsidR="00F424FF">
        <w:t xml:space="preserve"> but who meet the following criteria:</w:t>
      </w:r>
    </w:p>
    <w:p w14:paraId="3C53270C" w14:textId="77777777" w:rsidR="003F3D44" w:rsidRPr="009620AD" w:rsidRDefault="00F424FF" w:rsidP="003F3D44">
      <w:pPr>
        <w:numPr>
          <w:ilvl w:val="1"/>
          <w:numId w:val="11"/>
        </w:numPr>
        <w:ind w:left="720"/>
        <w:rPr>
          <w:b/>
        </w:rPr>
      </w:pPr>
      <w:r w:rsidRPr="009620AD">
        <w:rPr>
          <w:b/>
        </w:rPr>
        <w:t xml:space="preserve">Episode Day 1: </w:t>
      </w:r>
    </w:p>
    <w:p w14:paraId="3C53270D" w14:textId="2B647F02" w:rsidR="00F424FF" w:rsidRDefault="00F424FF" w:rsidP="003F3D44">
      <w:pPr>
        <w:numPr>
          <w:ilvl w:val="2"/>
          <w:numId w:val="11"/>
        </w:numPr>
        <w:ind w:left="1080" w:hanging="360"/>
      </w:pPr>
      <w:r>
        <w:t>Intractable pain despite routine home therapy (including narcotics, heat, massage, rest, etc.),</w:t>
      </w:r>
      <w:r w:rsidR="00F36552">
        <w:t xml:space="preserve"> </w:t>
      </w:r>
      <w:r w:rsidR="00F36552">
        <w:rPr>
          <w:i/>
        </w:rPr>
        <w:t>and</w:t>
      </w:r>
      <w:r w:rsidR="000F737D">
        <w:rPr>
          <w:i/>
        </w:rPr>
        <w:t xml:space="preserve">  </w:t>
      </w:r>
    </w:p>
    <w:p w14:paraId="3C53270E" w14:textId="77777777" w:rsidR="00F36552" w:rsidRPr="009620AD" w:rsidRDefault="00F424FF" w:rsidP="003F3D44">
      <w:pPr>
        <w:numPr>
          <w:ilvl w:val="2"/>
          <w:numId w:val="11"/>
        </w:numPr>
        <w:ind w:left="1080" w:hanging="360"/>
      </w:pPr>
      <w:r>
        <w:t>Suboptimal improvement</w:t>
      </w:r>
      <w:r w:rsidR="00F36552">
        <w:t xml:space="preserve"> in pain following at least 4-6 hours of </w:t>
      </w:r>
      <w:r w:rsidR="009620AD">
        <w:t>intravenous (</w:t>
      </w:r>
      <w:r w:rsidR="00F36552">
        <w:t>IV</w:t>
      </w:r>
      <w:r w:rsidR="009620AD">
        <w:t>)</w:t>
      </w:r>
      <w:r w:rsidR="00F36552">
        <w:t xml:space="preserve"> or </w:t>
      </w:r>
      <w:r w:rsidR="009620AD">
        <w:t>intramuscular (</w:t>
      </w:r>
      <w:r w:rsidR="00F36552">
        <w:t>IM</w:t>
      </w:r>
      <w:r w:rsidR="009620AD">
        <w:t>)</w:t>
      </w:r>
      <w:r w:rsidR="00F36552">
        <w:t xml:space="preserve"> analgesic treatment in the </w:t>
      </w:r>
      <w:r w:rsidR="009620AD">
        <w:t>emergency department (</w:t>
      </w:r>
      <w:r w:rsidR="00F36552">
        <w:t>ED</w:t>
      </w:r>
      <w:r w:rsidR="009620AD">
        <w:t>)</w:t>
      </w:r>
      <w:r w:rsidR="00F36552">
        <w:t xml:space="preserve"> or an alternate outpatient setting, </w:t>
      </w:r>
      <w:r w:rsidR="00F36552">
        <w:rPr>
          <w:i/>
        </w:rPr>
        <w:t>and</w:t>
      </w:r>
    </w:p>
    <w:p w14:paraId="3C53270F" w14:textId="0975EBCF" w:rsidR="00F36552" w:rsidRDefault="00F36552" w:rsidP="003F3D44">
      <w:pPr>
        <w:numPr>
          <w:ilvl w:val="2"/>
          <w:numId w:val="11"/>
        </w:numPr>
        <w:ind w:left="1080" w:hanging="360"/>
      </w:pPr>
      <w:r>
        <w:t>Requires continued IV or IM analgesic treatment and/or IV</w:t>
      </w:r>
      <w:r w:rsidR="000723AC">
        <w:t xml:space="preserve"> fluids</w:t>
      </w:r>
      <w:r>
        <w:t xml:space="preserve"> for pain management. </w:t>
      </w:r>
    </w:p>
    <w:p w14:paraId="220020C8" w14:textId="77777777" w:rsidR="00237A18" w:rsidRDefault="00237A18" w:rsidP="005E22C2"/>
    <w:p w14:paraId="3C532711" w14:textId="77777777" w:rsidR="00F36552" w:rsidRPr="009620AD" w:rsidRDefault="00F36552" w:rsidP="006A01DC">
      <w:pPr>
        <w:numPr>
          <w:ilvl w:val="1"/>
          <w:numId w:val="11"/>
        </w:numPr>
        <w:tabs>
          <w:tab w:val="left" w:pos="720"/>
        </w:tabs>
        <w:ind w:left="720"/>
        <w:rPr>
          <w:b/>
        </w:rPr>
      </w:pPr>
      <w:r w:rsidRPr="009620AD">
        <w:rPr>
          <w:b/>
        </w:rPr>
        <w:t>Episode Day 2:</w:t>
      </w:r>
    </w:p>
    <w:p w14:paraId="3C532712" w14:textId="77777777" w:rsidR="00F36552" w:rsidRDefault="00F36552" w:rsidP="00AA1EB6">
      <w:pPr>
        <w:tabs>
          <w:tab w:val="left" w:pos="720"/>
          <w:tab w:val="left" w:pos="990"/>
        </w:tabs>
        <w:ind w:left="720"/>
      </w:pPr>
      <w:r>
        <w:t>Any days beyond episode day one in observation that do not meet inpatient criteria must be reviewed by a physician. Lack of scheduled or continuous dosing of analgesics and adequate IV</w:t>
      </w:r>
      <w:r w:rsidR="00890091">
        <w:t xml:space="preserve"> fluids</w:t>
      </w:r>
      <w:r>
        <w:t xml:space="preserve"> indicate suboptimal treatment of a vaso-occlusive pain crisis.</w:t>
      </w:r>
    </w:p>
    <w:p w14:paraId="3C532713" w14:textId="77777777" w:rsidR="00D41EF4" w:rsidRDefault="00D41EF4" w:rsidP="009620AD">
      <w:pPr>
        <w:tabs>
          <w:tab w:val="left" w:pos="720"/>
          <w:tab w:val="left" w:pos="990"/>
        </w:tabs>
      </w:pPr>
    </w:p>
    <w:p w14:paraId="3C532714" w14:textId="77777777" w:rsidR="00D41EF4" w:rsidRPr="009620AD" w:rsidRDefault="00D41EF4" w:rsidP="006A01DC">
      <w:pPr>
        <w:numPr>
          <w:ilvl w:val="1"/>
          <w:numId w:val="11"/>
        </w:numPr>
        <w:tabs>
          <w:tab w:val="left" w:pos="720"/>
          <w:tab w:val="left" w:pos="810"/>
        </w:tabs>
        <w:ind w:left="720"/>
        <w:rPr>
          <w:b/>
        </w:rPr>
      </w:pPr>
      <w:r w:rsidRPr="009620AD">
        <w:rPr>
          <w:b/>
        </w:rPr>
        <w:t>Discharge Criteria:</w:t>
      </w:r>
    </w:p>
    <w:p w14:paraId="3C532715" w14:textId="77777777" w:rsidR="00D41EF4" w:rsidRDefault="00D41EF4" w:rsidP="006A01DC">
      <w:pPr>
        <w:numPr>
          <w:ilvl w:val="2"/>
          <w:numId w:val="11"/>
        </w:numPr>
        <w:ind w:left="1080" w:hanging="360"/>
      </w:pPr>
      <w:r>
        <w:t xml:space="preserve">Pain is controlled with oral analgesics; </w:t>
      </w:r>
      <w:r w:rsidRPr="00AA1EB6">
        <w:rPr>
          <w:i/>
        </w:rPr>
        <w:t>and</w:t>
      </w:r>
    </w:p>
    <w:p w14:paraId="3C532716" w14:textId="77777777" w:rsidR="00D41EF4" w:rsidRDefault="00D41EF4" w:rsidP="006A01DC">
      <w:pPr>
        <w:numPr>
          <w:ilvl w:val="2"/>
          <w:numId w:val="11"/>
        </w:numPr>
        <w:ind w:left="1080" w:hanging="360"/>
      </w:pPr>
      <w:r>
        <w:t>Adequate oral intake;</w:t>
      </w:r>
      <w:r w:rsidRPr="00AA1EB6">
        <w:t xml:space="preserve"> </w:t>
      </w:r>
      <w:r w:rsidRPr="00AA1EB6">
        <w:rPr>
          <w:i/>
        </w:rPr>
        <w:t>and</w:t>
      </w:r>
      <w:r>
        <w:t xml:space="preserve"> </w:t>
      </w:r>
    </w:p>
    <w:p w14:paraId="3C532717" w14:textId="77777777" w:rsidR="003F3D44" w:rsidRDefault="00D41EF4" w:rsidP="006A01DC">
      <w:pPr>
        <w:numPr>
          <w:ilvl w:val="2"/>
          <w:numId w:val="11"/>
        </w:numPr>
        <w:ind w:left="1080" w:hanging="360"/>
      </w:pPr>
      <w:r>
        <w:t>Patient educated on comprehensive pain plan tailored to his/her individual</w:t>
      </w:r>
      <w:r w:rsidR="00F14079">
        <w:t xml:space="preserve"> needs</w:t>
      </w:r>
      <w:r>
        <w:t>.</w:t>
      </w:r>
    </w:p>
    <w:p w14:paraId="3C532718" w14:textId="77777777" w:rsidR="003F3D44" w:rsidRPr="004E38F3" w:rsidRDefault="003F3D44" w:rsidP="009620AD"/>
    <w:p w14:paraId="3C532719" w14:textId="77777777" w:rsidR="00FB0592" w:rsidRDefault="00FB0592" w:rsidP="00FB0592">
      <w:pPr>
        <w:pStyle w:val="Heading2"/>
        <w:rPr>
          <w:u w:val="none"/>
        </w:rPr>
      </w:pPr>
      <w:r w:rsidRPr="00B777AF">
        <w:rPr>
          <w:u w:val="none"/>
        </w:rPr>
        <w:t>Background</w:t>
      </w:r>
    </w:p>
    <w:p w14:paraId="3C53271A" w14:textId="4316DB23" w:rsidR="00F424FF" w:rsidRDefault="00F424FF" w:rsidP="00F424FF">
      <w:pPr>
        <w:autoSpaceDE w:val="0"/>
        <w:autoSpaceDN w:val="0"/>
        <w:adjustRightInd w:val="0"/>
      </w:pPr>
      <w:r>
        <w:t xml:space="preserve">Episodes of acute pain are the most common type of vaso-occlusive event in sickle cell disease (SCD).  An acute pain episode is the most common reason for </w:t>
      </w:r>
      <w:r w:rsidR="00EE0B47">
        <w:t xml:space="preserve">individuals with SCD </w:t>
      </w:r>
      <w:r>
        <w:t xml:space="preserve">to seek medical attention.  Pain can be triggered by things such as stress, weather conditions, dehydration, infection, menses, </w:t>
      </w:r>
      <w:r w:rsidR="00C04EAA">
        <w:t xml:space="preserve">overexertion, </w:t>
      </w:r>
      <w:r>
        <w:t>and alcohol consumption, but most episodes have no identified cause.  The pain most commonly affects the back, chest, extremities, and abdomen</w:t>
      </w:r>
      <w:r w:rsidR="00EE0B47">
        <w:t>,</w:t>
      </w:r>
      <w:r>
        <w:t xml:space="preserve"> but can occur in any area of the body.  Pain ranges from mild to excruciating and can be accompanied by objective clinical signs such as fever, swelling, tenderness, tachypnea, hypertension, nausea and vomiting.   </w:t>
      </w:r>
    </w:p>
    <w:p w14:paraId="3C53271B" w14:textId="77777777" w:rsidR="00F424FF" w:rsidRDefault="00F424FF" w:rsidP="00F424FF">
      <w:pPr>
        <w:autoSpaceDE w:val="0"/>
        <w:autoSpaceDN w:val="0"/>
        <w:adjustRightInd w:val="0"/>
      </w:pPr>
    </w:p>
    <w:p w14:paraId="3C53271C" w14:textId="77777777" w:rsidR="00F424FF" w:rsidRDefault="00F424FF" w:rsidP="00F424FF">
      <w:pPr>
        <w:autoSpaceDE w:val="0"/>
        <w:autoSpaceDN w:val="0"/>
        <w:adjustRightInd w:val="0"/>
      </w:pPr>
      <w:r>
        <w:t>Every individual with SCD should have an establ</w:t>
      </w:r>
      <w:r w:rsidR="00EE0B47">
        <w:t xml:space="preserve">ished pain plan tailored to his or </w:t>
      </w:r>
      <w:r>
        <w:t>her needs.  These plans should outline how to appropriately manage their pain at home and include pre-</w:t>
      </w:r>
      <w:r>
        <w:lastRenderedPageBreak/>
        <w:t xml:space="preserve">defined thresholds for the use of opioids and when to contact their health care providers.  When adequate relief is not achievable in the home, patients often present to the ED for treatment. </w:t>
      </w:r>
    </w:p>
    <w:p w14:paraId="3C53271D" w14:textId="77777777" w:rsidR="00F424FF" w:rsidRDefault="00F424FF" w:rsidP="00F424FF">
      <w:pPr>
        <w:autoSpaceDE w:val="0"/>
        <w:autoSpaceDN w:val="0"/>
        <w:adjustRightInd w:val="0"/>
      </w:pPr>
    </w:p>
    <w:p w14:paraId="3C53271E" w14:textId="77777777" w:rsidR="00F424FF" w:rsidRDefault="00F424FF" w:rsidP="00F424FF">
      <w:pPr>
        <w:autoSpaceDE w:val="0"/>
        <w:autoSpaceDN w:val="0"/>
        <w:adjustRightInd w:val="0"/>
      </w:pPr>
      <w:r>
        <w:t>When patients present to the ED with acute pain, other causes of the pain should be excluded, particularly infection, prior to developing a treatment strategy.  An acute pain crisis is best managed with optimal hydration and aggressive pain relief.  IV</w:t>
      </w:r>
      <w:r w:rsidR="000723AC">
        <w:t xml:space="preserve"> </w:t>
      </w:r>
      <w:r>
        <w:t xml:space="preserve">fluid resuscitation and analgesics can be effectively administered in the observation setting when efforts at treating the pain episode at home are unsuccessful and the pain is not severe enough to warrant an inpatient admission. </w:t>
      </w:r>
    </w:p>
    <w:p w14:paraId="3C53271F" w14:textId="46A13B47" w:rsidR="00350F22"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B777AF" w:rsidRPr="00B777AF" w14:paraId="3C532723" w14:textId="77777777" w:rsidTr="00CF19A8">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bottom w:val="single" w:sz="4" w:space="0" w:color="auto"/>
              <w:right w:val="none" w:sz="0" w:space="0" w:color="auto"/>
            </w:tcBorders>
            <w:shd w:val="clear" w:color="auto" w:fill="00548C"/>
          </w:tcPr>
          <w:p w14:paraId="3C532720" w14:textId="77777777" w:rsidR="00B777AF" w:rsidRPr="00B777AF" w:rsidRDefault="00B777AF" w:rsidP="00B777AF">
            <w:pPr>
              <w:rPr>
                <w:bCs w:val="0"/>
              </w:rPr>
            </w:pPr>
            <w:bookmarkStart w:id="0" w:name="Revision_Log"/>
            <w:r w:rsidRPr="00B777AF">
              <w:rPr>
                <w:bCs w:val="0"/>
              </w:rPr>
              <w:t>Reviews</w:t>
            </w:r>
            <w:r>
              <w:rPr>
                <w:bCs w:val="0"/>
              </w:rPr>
              <w:t>, Revisions, and Approvals</w:t>
            </w:r>
            <w:bookmarkEnd w:id="0"/>
          </w:p>
        </w:tc>
        <w:tc>
          <w:tcPr>
            <w:tcW w:w="810" w:type="dxa"/>
            <w:tcBorders>
              <w:bottom w:val="single" w:sz="4" w:space="0" w:color="auto"/>
            </w:tcBorders>
            <w:shd w:val="clear" w:color="auto" w:fill="00548C"/>
          </w:tcPr>
          <w:p w14:paraId="3C532721"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auto"/>
              <w:right w:val="none" w:sz="0" w:space="0" w:color="auto"/>
            </w:tcBorders>
            <w:shd w:val="clear" w:color="auto" w:fill="00548C"/>
          </w:tcPr>
          <w:p w14:paraId="3C532722"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D43987" w14:paraId="3C532727" w14:textId="77777777" w:rsidTr="00CF19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single" w:sz="4" w:space="0" w:color="auto"/>
              <w:left w:val="single" w:sz="4" w:space="0" w:color="auto"/>
              <w:bottom w:val="single" w:sz="4" w:space="0" w:color="auto"/>
              <w:right w:val="single" w:sz="4" w:space="0" w:color="auto"/>
            </w:tcBorders>
          </w:tcPr>
          <w:p w14:paraId="3C532724" w14:textId="77777777" w:rsidR="00D43987" w:rsidRDefault="00D43987" w:rsidP="00D43987">
            <w:pPr>
              <w:tabs>
                <w:tab w:val="num" w:pos="720"/>
              </w:tabs>
            </w:pPr>
            <w:r>
              <w:t>Policy developed</w:t>
            </w:r>
          </w:p>
        </w:tc>
        <w:tc>
          <w:tcPr>
            <w:tcW w:w="810" w:type="dxa"/>
            <w:tcBorders>
              <w:top w:val="single" w:sz="4" w:space="0" w:color="auto"/>
              <w:left w:val="single" w:sz="4" w:space="0" w:color="auto"/>
              <w:bottom w:val="single" w:sz="4" w:space="0" w:color="auto"/>
              <w:right w:val="single" w:sz="4" w:space="0" w:color="auto"/>
            </w:tcBorders>
          </w:tcPr>
          <w:p w14:paraId="3C532725" w14:textId="77777777" w:rsidR="00D43987" w:rsidRDefault="00D43987" w:rsidP="00CF19A8">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tcPr>
          <w:p w14:paraId="3C532726" w14:textId="77777777" w:rsidR="00D43987" w:rsidRDefault="00D43987" w:rsidP="00CF19A8">
            <w:pPr>
              <w:jc w:val="center"/>
            </w:pPr>
            <w:r>
              <w:t>09/13</w:t>
            </w:r>
          </w:p>
        </w:tc>
      </w:tr>
      <w:tr w:rsidR="00CF19A8" w14:paraId="3C53272B" w14:textId="77777777" w:rsidTr="00CF19A8">
        <w:tc>
          <w:tcPr>
            <w:cnfStyle w:val="000010000000" w:firstRow="0" w:lastRow="0" w:firstColumn="0" w:lastColumn="0" w:oddVBand="1" w:evenVBand="0" w:oddHBand="0" w:evenHBand="0" w:firstRowFirstColumn="0" w:firstRowLastColumn="0" w:lastRowFirstColumn="0" w:lastRowLastColumn="0"/>
            <w:tcW w:w="7578" w:type="dxa"/>
            <w:tcBorders>
              <w:top w:val="single" w:sz="4" w:space="0" w:color="auto"/>
              <w:left w:val="single" w:sz="4" w:space="0" w:color="auto"/>
              <w:bottom w:val="single" w:sz="4" w:space="0" w:color="auto"/>
              <w:right w:val="single" w:sz="4" w:space="0" w:color="auto"/>
            </w:tcBorders>
          </w:tcPr>
          <w:p w14:paraId="3C532728" w14:textId="77777777" w:rsidR="00CF19A8" w:rsidRDefault="00CF19A8" w:rsidP="00CF19A8">
            <w:pPr>
              <w:tabs>
                <w:tab w:val="num" w:pos="720"/>
              </w:tabs>
            </w:pPr>
            <w:r>
              <w:t>References reviewed and updated</w:t>
            </w:r>
          </w:p>
        </w:tc>
        <w:tc>
          <w:tcPr>
            <w:tcW w:w="810" w:type="dxa"/>
            <w:tcBorders>
              <w:top w:val="single" w:sz="4" w:space="0" w:color="auto"/>
              <w:left w:val="single" w:sz="4" w:space="0" w:color="auto"/>
              <w:bottom w:val="single" w:sz="4" w:space="0" w:color="auto"/>
              <w:right w:val="single" w:sz="4" w:space="0" w:color="auto"/>
            </w:tcBorders>
          </w:tcPr>
          <w:p w14:paraId="3C532729" w14:textId="77777777" w:rsidR="00CF19A8" w:rsidRDefault="00CF19A8" w:rsidP="00CF19A8">
            <w:pPr>
              <w:jc w:val="center"/>
              <w:cnfStyle w:val="000000000000" w:firstRow="0" w:lastRow="0" w:firstColumn="0" w:lastColumn="0" w:oddVBand="0" w:evenVBand="0" w:oddHBand="0" w:evenHBand="0" w:firstRowFirstColumn="0" w:firstRowLastColumn="0" w:lastRowFirstColumn="0" w:lastRowLastColumn="0"/>
            </w:pPr>
            <w:r>
              <w:t>09/14</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tcPr>
          <w:p w14:paraId="3C53272A" w14:textId="77777777" w:rsidR="00CF19A8" w:rsidRDefault="00CF19A8" w:rsidP="00CF19A8">
            <w:pPr>
              <w:jc w:val="center"/>
            </w:pPr>
            <w:r>
              <w:t>09/14</w:t>
            </w:r>
          </w:p>
        </w:tc>
      </w:tr>
      <w:tr w:rsidR="00CF19A8" w14:paraId="3C532730" w14:textId="77777777" w:rsidTr="00CF19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single" w:sz="4" w:space="0" w:color="auto"/>
              <w:left w:val="single" w:sz="4" w:space="0" w:color="auto"/>
              <w:bottom w:val="single" w:sz="4" w:space="0" w:color="auto"/>
              <w:right w:val="single" w:sz="4" w:space="0" w:color="auto"/>
            </w:tcBorders>
          </w:tcPr>
          <w:p w14:paraId="3C53272C" w14:textId="77777777" w:rsidR="00CF19A8" w:rsidRDefault="00CF19A8" w:rsidP="00CF19A8">
            <w:pPr>
              <w:tabs>
                <w:tab w:val="num" w:pos="720"/>
              </w:tabs>
            </w:pPr>
            <w:r>
              <w:t>Changed language in II.A from referred to Medical Director to reviewed by a physician</w:t>
            </w:r>
          </w:p>
          <w:p w14:paraId="3C53272D" w14:textId="77777777" w:rsidR="00CF19A8" w:rsidRDefault="00CF19A8" w:rsidP="00CF19A8">
            <w:pPr>
              <w:tabs>
                <w:tab w:val="num" w:pos="720"/>
              </w:tabs>
            </w:pPr>
            <w:r>
              <w:t>Converted into new template</w:t>
            </w:r>
          </w:p>
        </w:tc>
        <w:tc>
          <w:tcPr>
            <w:tcW w:w="810" w:type="dxa"/>
            <w:tcBorders>
              <w:top w:val="single" w:sz="4" w:space="0" w:color="auto"/>
              <w:left w:val="single" w:sz="4" w:space="0" w:color="auto"/>
              <w:bottom w:val="single" w:sz="4" w:space="0" w:color="auto"/>
              <w:right w:val="single" w:sz="4" w:space="0" w:color="auto"/>
            </w:tcBorders>
          </w:tcPr>
          <w:p w14:paraId="3C53272E" w14:textId="77777777" w:rsidR="00CF19A8" w:rsidRDefault="00CF19A8" w:rsidP="00CF19A8">
            <w:pPr>
              <w:jc w:val="center"/>
              <w:cnfStyle w:val="000000100000" w:firstRow="0" w:lastRow="0" w:firstColumn="0" w:lastColumn="0" w:oddVBand="0" w:evenVBand="0" w:oddHBand="1" w:evenHBand="0" w:firstRowFirstColumn="0" w:firstRowLastColumn="0" w:lastRowFirstColumn="0" w:lastRowLastColumn="0"/>
            </w:pPr>
            <w:r>
              <w:t>09/15</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tcPr>
          <w:p w14:paraId="3C53272F" w14:textId="77777777" w:rsidR="00CF19A8" w:rsidRDefault="00CF19A8" w:rsidP="00CF19A8">
            <w:pPr>
              <w:jc w:val="center"/>
            </w:pPr>
            <w:r>
              <w:t>09/15</w:t>
            </w:r>
          </w:p>
        </w:tc>
      </w:tr>
      <w:tr w:rsidR="00CF19A8" w14:paraId="3C532734" w14:textId="77777777" w:rsidTr="00CF19A8">
        <w:tc>
          <w:tcPr>
            <w:cnfStyle w:val="000010000000" w:firstRow="0" w:lastRow="0" w:firstColumn="0" w:lastColumn="0" w:oddVBand="1" w:evenVBand="0" w:oddHBand="0" w:evenHBand="0" w:firstRowFirstColumn="0" w:firstRowLastColumn="0" w:lastRowFirstColumn="0" w:lastRowLastColumn="0"/>
            <w:tcW w:w="7578" w:type="dxa"/>
            <w:tcBorders>
              <w:top w:val="single" w:sz="4" w:space="0" w:color="auto"/>
              <w:left w:val="single" w:sz="4" w:space="0" w:color="auto"/>
              <w:bottom w:val="single" w:sz="4" w:space="0" w:color="auto"/>
              <w:right w:val="single" w:sz="4" w:space="0" w:color="auto"/>
            </w:tcBorders>
          </w:tcPr>
          <w:p w14:paraId="3C532731" w14:textId="77777777" w:rsidR="00CF19A8" w:rsidRDefault="00890091" w:rsidP="00035153">
            <w:pPr>
              <w:tabs>
                <w:tab w:val="num" w:pos="720"/>
              </w:tabs>
            </w:pPr>
            <w:r>
              <w:t>References reviewed and updated</w:t>
            </w:r>
            <w:r w:rsidR="00035153">
              <w:t>. Clarified in I. that the member does not meet inpatient status “per a nationally recognized clinical decision making support tool.”</w:t>
            </w:r>
          </w:p>
        </w:tc>
        <w:tc>
          <w:tcPr>
            <w:tcW w:w="810" w:type="dxa"/>
            <w:tcBorders>
              <w:top w:val="single" w:sz="4" w:space="0" w:color="auto"/>
              <w:left w:val="single" w:sz="4" w:space="0" w:color="auto"/>
              <w:bottom w:val="single" w:sz="4" w:space="0" w:color="auto"/>
              <w:right w:val="single" w:sz="4" w:space="0" w:color="auto"/>
            </w:tcBorders>
          </w:tcPr>
          <w:p w14:paraId="3C532732" w14:textId="77777777" w:rsidR="00CF19A8" w:rsidRDefault="00890091" w:rsidP="00CF19A8">
            <w:pPr>
              <w:jc w:val="center"/>
              <w:cnfStyle w:val="000000000000" w:firstRow="0" w:lastRow="0" w:firstColumn="0" w:lastColumn="0" w:oddVBand="0" w:evenVBand="0" w:oddHBand="0" w:evenHBand="0" w:firstRowFirstColumn="0" w:firstRowLastColumn="0" w:lastRowFirstColumn="0" w:lastRowLastColumn="0"/>
            </w:pPr>
            <w:r>
              <w:t>09/16</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tcPr>
          <w:p w14:paraId="3C532733" w14:textId="77777777" w:rsidR="00CF19A8" w:rsidRDefault="00035153" w:rsidP="00CF19A8">
            <w:pPr>
              <w:jc w:val="center"/>
            </w:pPr>
            <w:r>
              <w:t>09/16</w:t>
            </w:r>
          </w:p>
        </w:tc>
      </w:tr>
      <w:tr w:rsidR="00F44E92" w14:paraId="3C532738" w14:textId="77777777" w:rsidTr="00CF19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single" w:sz="4" w:space="0" w:color="auto"/>
              <w:left w:val="single" w:sz="4" w:space="0" w:color="auto"/>
              <w:bottom w:val="single" w:sz="4" w:space="0" w:color="auto"/>
              <w:right w:val="single" w:sz="4" w:space="0" w:color="auto"/>
            </w:tcBorders>
          </w:tcPr>
          <w:p w14:paraId="3C532735" w14:textId="77777777" w:rsidR="00F44E92" w:rsidRDefault="00F44E92" w:rsidP="00035153">
            <w:pPr>
              <w:tabs>
                <w:tab w:val="num" w:pos="720"/>
              </w:tabs>
            </w:pPr>
            <w:r>
              <w:t xml:space="preserve">References reviewed and updated. </w:t>
            </w:r>
          </w:p>
        </w:tc>
        <w:tc>
          <w:tcPr>
            <w:tcW w:w="810" w:type="dxa"/>
            <w:tcBorders>
              <w:top w:val="single" w:sz="4" w:space="0" w:color="auto"/>
              <w:left w:val="single" w:sz="4" w:space="0" w:color="auto"/>
              <w:bottom w:val="single" w:sz="4" w:space="0" w:color="auto"/>
              <w:right w:val="single" w:sz="4" w:space="0" w:color="auto"/>
            </w:tcBorders>
          </w:tcPr>
          <w:p w14:paraId="3C532736" w14:textId="77777777" w:rsidR="00F44E92" w:rsidRDefault="00F44E92" w:rsidP="00CF19A8">
            <w:pPr>
              <w:jc w:val="center"/>
              <w:cnfStyle w:val="000000100000" w:firstRow="0" w:lastRow="0" w:firstColumn="0" w:lastColumn="0" w:oddVBand="0" w:evenVBand="0" w:oddHBand="1" w:evenHBand="0" w:firstRowFirstColumn="0" w:firstRowLastColumn="0" w:lastRowFirstColumn="0" w:lastRowLastColumn="0"/>
            </w:pPr>
            <w:r>
              <w:t>09/17</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tcPr>
          <w:p w14:paraId="3C532737" w14:textId="77777777" w:rsidR="00F44E92" w:rsidRDefault="00B60B56" w:rsidP="00CF19A8">
            <w:pPr>
              <w:jc w:val="center"/>
            </w:pPr>
            <w:r>
              <w:t>09/17</w:t>
            </w:r>
          </w:p>
        </w:tc>
      </w:tr>
      <w:tr w:rsidR="00A4676C" w14:paraId="3C53273C" w14:textId="77777777" w:rsidTr="00CF19A8">
        <w:tc>
          <w:tcPr>
            <w:cnfStyle w:val="000010000000" w:firstRow="0" w:lastRow="0" w:firstColumn="0" w:lastColumn="0" w:oddVBand="1" w:evenVBand="0" w:oddHBand="0" w:evenHBand="0" w:firstRowFirstColumn="0" w:firstRowLastColumn="0" w:lastRowFirstColumn="0" w:lastRowLastColumn="0"/>
            <w:tcW w:w="7578" w:type="dxa"/>
            <w:tcBorders>
              <w:top w:val="single" w:sz="4" w:space="0" w:color="auto"/>
              <w:left w:val="single" w:sz="4" w:space="0" w:color="auto"/>
              <w:bottom w:val="single" w:sz="4" w:space="0" w:color="auto"/>
              <w:right w:val="single" w:sz="4" w:space="0" w:color="auto"/>
            </w:tcBorders>
          </w:tcPr>
          <w:p w14:paraId="3C532739" w14:textId="6D35D785" w:rsidR="00A4676C" w:rsidRDefault="00A4676C" w:rsidP="00212DB6">
            <w:pPr>
              <w:tabs>
                <w:tab w:val="num" w:pos="720"/>
              </w:tabs>
            </w:pPr>
            <w:r>
              <w:t>References reviewed and updated</w:t>
            </w:r>
          </w:p>
        </w:tc>
        <w:tc>
          <w:tcPr>
            <w:tcW w:w="810" w:type="dxa"/>
            <w:tcBorders>
              <w:top w:val="single" w:sz="4" w:space="0" w:color="auto"/>
              <w:left w:val="single" w:sz="4" w:space="0" w:color="auto"/>
              <w:bottom w:val="single" w:sz="4" w:space="0" w:color="auto"/>
              <w:right w:val="single" w:sz="4" w:space="0" w:color="auto"/>
            </w:tcBorders>
          </w:tcPr>
          <w:p w14:paraId="3C53273A" w14:textId="77777777" w:rsidR="00A4676C" w:rsidRDefault="00A4676C" w:rsidP="00CF19A8">
            <w:pPr>
              <w:jc w:val="center"/>
              <w:cnfStyle w:val="000000000000" w:firstRow="0" w:lastRow="0" w:firstColumn="0" w:lastColumn="0" w:oddVBand="0" w:evenVBand="0" w:oddHBand="0" w:evenHBand="0" w:firstRowFirstColumn="0" w:firstRowLastColumn="0" w:lastRowFirstColumn="0" w:lastRowLastColumn="0"/>
            </w:pPr>
            <w:r>
              <w:t>07/18</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tcPr>
          <w:p w14:paraId="3C53273B" w14:textId="77777777" w:rsidR="00A4676C" w:rsidRDefault="00335F54" w:rsidP="00CF19A8">
            <w:pPr>
              <w:jc w:val="center"/>
            </w:pPr>
            <w:r>
              <w:t>07/18</w:t>
            </w:r>
          </w:p>
        </w:tc>
      </w:tr>
      <w:tr w:rsidR="00212DB6" w14:paraId="1AA395E7" w14:textId="77777777" w:rsidTr="00CF19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single" w:sz="4" w:space="0" w:color="auto"/>
              <w:left w:val="single" w:sz="4" w:space="0" w:color="auto"/>
              <w:bottom w:val="single" w:sz="4" w:space="0" w:color="auto"/>
              <w:right w:val="single" w:sz="4" w:space="0" w:color="auto"/>
            </w:tcBorders>
          </w:tcPr>
          <w:p w14:paraId="28825665" w14:textId="53136DCA" w:rsidR="00212DB6" w:rsidRDefault="00212DB6" w:rsidP="003424C3">
            <w:pPr>
              <w:tabs>
                <w:tab w:val="num" w:pos="720"/>
              </w:tabs>
            </w:pPr>
            <w:r>
              <w:t>References reviewed and updated. Add</w:t>
            </w:r>
            <w:r w:rsidR="00474260">
              <w:t>ition of</w:t>
            </w:r>
            <w:r>
              <w:t xml:space="preserve"> “overexertion” </w:t>
            </w:r>
            <w:r w:rsidR="00474260">
              <w:t>w</w:t>
            </w:r>
            <w:r>
              <w:t>as</w:t>
            </w:r>
            <w:r w:rsidR="00474260">
              <w:t xml:space="preserve"> to the background.</w:t>
            </w:r>
            <w:r w:rsidR="003424C3">
              <w:t xml:space="preserve"> Specialist review.</w:t>
            </w:r>
            <w:r w:rsidR="00474260">
              <w:t xml:space="preserve"> Duplicative UpToDate references removed.</w:t>
            </w:r>
          </w:p>
        </w:tc>
        <w:tc>
          <w:tcPr>
            <w:tcW w:w="810" w:type="dxa"/>
            <w:tcBorders>
              <w:top w:val="single" w:sz="4" w:space="0" w:color="auto"/>
              <w:left w:val="single" w:sz="4" w:space="0" w:color="auto"/>
              <w:bottom w:val="single" w:sz="4" w:space="0" w:color="auto"/>
              <w:right w:val="single" w:sz="4" w:space="0" w:color="auto"/>
            </w:tcBorders>
          </w:tcPr>
          <w:p w14:paraId="2B393224" w14:textId="6EFE5F8B" w:rsidR="00212DB6" w:rsidRDefault="00212DB6" w:rsidP="00CF19A8">
            <w:pPr>
              <w:jc w:val="center"/>
              <w:cnfStyle w:val="000000100000" w:firstRow="0" w:lastRow="0" w:firstColumn="0" w:lastColumn="0" w:oddVBand="0" w:evenVBand="0" w:oddHBand="1" w:evenHBand="0" w:firstRowFirstColumn="0" w:firstRowLastColumn="0" w:lastRowFirstColumn="0" w:lastRowLastColumn="0"/>
            </w:pPr>
            <w:r>
              <w:t>07/19</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tcPr>
          <w:p w14:paraId="4C455390" w14:textId="37F9657B" w:rsidR="00212DB6" w:rsidRDefault="000918AE" w:rsidP="00CF19A8">
            <w:pPr>
              <w:jc w:val="center"/>
            </w:pPr>
            <w:r>
              <w:t>07/19</w:t>
            </w:r>
          </w:p>
        </w:tc>
      </w:tr>
    </w:tbl>
    <w:p w14:paraId="3C53273D" w14:textId="77777777" w:rsidR="00B777AF" w:rsidRDefault="00B777AF" w:rsidP="00335F54">
      <w:pPr>
        <w:pStyle w:val="Heading6"/>
        <w:tabs>
          <w:tab w:val="clear" w:pos="0"/>
        </w:tabs>
        <w:jc w:val="left"/>
      </w:pPr>
    </w:p>
    <w:p w14:paraId="3C53273E" w14:textId="77777777" w:rsidR="00963062" w:rsidRPr="00B777AF" w:rsidRDefault="003F3D44" w:rsidP="00963062">
      <w:pPr>
        <w:pStyle w:val="Heading3"/>
      </w:pPr>
      <w:r>
        <w:t>References</w:t>
      </w:r>
    </w:p>
    <w:p w14:paraId="3C53273F" w14:textId="77777777" w:rsidR="009620AD" w:rsidRPr="009620AD" w:rsidRDefault="009620AD" w:rsidP="00890091">
      <w:pPr>
        <w:pStyle w:val="ListParagraph"/>
        <w:numPr>
          <w:ilvl w:val="0"/>
          <w:numId w:val="21"/>
        </w:numPr>
        <w:ind w:left="360"/>
        <w:rPr>
          <w:bCs/>
        </w:rPr>
      </w:pPr>
      <w:r w:rsidRPr="009620AD">
        <w:rPr>
          <w:bCs/>
        </w:rPr>
        <w:t xml:space="preserve">Ballas SK.  Current issues in sickle cell pain and its management.  </w:t>
      </w:r>
      <w:r w:rsidRPr="002D1FD8">
        <w:rPr>
          <w:bCs/>
        </w:rPr>
        <w:t>Hematology 2007</w:t>
      </w:r>
      <w:r w:rsidRPr="008A1B72">
        <w:rPr>
          <w:bCs/>
          <w:i/>
        </w:rPr>
        <w:t>.</w:t>
      </w:r>
      <w:r w:rsidRPr="009620AD">
        <w:rPr>
          <w:bCs/>
        </w:rPr>
        <w:t xml:space="preserve"> 2007;1:97-105.  </w:t>
      </w:r>
    </w:p>
    <w:p w14:paraId="3C532740" w14:textId="4746C8E7" w:rsidR="009620AD" w:rsidRPr="009620AD" w:rsidRDefault="009620AD" w:rsidP="00890091">
      <w:pPr>
        <w:pStyle w:val="ListParagraph"/>
        <w:numPr>
          <w:ilvl w:val="0"/>
          <w:numId w:val="21"/>
        </w:numPr>
        <w:ind w:left="360"/>
        <w:rPr>
          <w:bCs/>
        </w:rPr>
      </w:pPr>
      <w:r w:rsidRPr="009620AD">
        <w:rPr>
          <w:bCs/>
        </w:rPr>
        <w:t xml:space="preserve">DeBaun MR, Vichinsky EP.  </w:t>
      </w:r>
      <w:r w:rsidR="003117CD">
        <w:rPr>
          <w:bCs/>
        </w:rPr>
        <w:t>Vaso-occlusive</w:t>
      </w:r>
      <w:r w:rsidR="003117CD" w:rsidRPr="009620AD">
        <w:rPr>
          <w:bCs/>
        </w:rPr>
        <w:t xml:space="preserve"> </w:t>
      </w:r>
      <w:r w:rsidRPr="009620AD">
        <w:rPr>
          <w:bCs/>
        </w:rPr>
        <w:t xml:space="preserve">pain management in sickle cell disease.  In: UpToDate, Mahoney DH, Schrier SL (Ed), UpToDate, Waltham, MA.  Accessed </w:t>
      </w:r>
      <w:r w:rsidR="003117CD">
        <w:rPr>
          <w:bCs/>
        </w:rPr>
        <w:t>06/21/19</w:t>
      </w:r>
      <w:r w:rsidRPr="009620AD">
        <w:rPr>
          <w:bCs/>
        </w:rPr>
        <w:t xml:space="preserve">.  </w:t>
      </w:r>
    </w:p>
    <w:p w14:paraId="3C532741" w14:textId="3861B958" w:rsidR="009620AD" w:rsidRPr="009620AD" w:rsidRDefault="009620AD" w:rsidP="00890091">
      <w:pPr>
        <w:pStyle w:val="ListParagraph"/>
        <w:numPr>
          <w:ilvl w:val="0"/>
          <w:numId w:val="21"/>
        </w:numPr>
        <w:ind w:left="360"/>
        <w:rPr>
          <w:bCs/>
        </w:rPr>
      </w:pPr>
      <w:r w:rsidRPr="009620AD">
        <w:rPr>
          <w:bCs/>
        </w:rPr>
        <w:t xml:space="preserve">Field JJ, Vichinsky EP, DeBaun MR.  Overview of the management and prognosis of sickle cell disease.  In: UpToDate, Schrier SL, Mahoney DH (Ed), UpToDate, Waltham, MA.  Accessed </w:t>
      </w:r>
      <w:r w:rsidR="003117CD">
        <w:rPr>
          <w:bCs/>
        </w:rPr>
        <w:t>06/21/19</w:t>
      </w:r>
      <w:r w:rsidRPr="009620AD">
        <w:rPr>
          <w:bCs/>
        </w:rPr>
        <w:t xml:space="preserve">. </w:t>
      </w:r>
    </w:p>
    <w:p w14:paraId="3C532742" w14:textId="77777777" w:rsidR="009620AD" w:rsidRPr="009620AD" w:rsidRDefault="009620AD" w:rsidP="00890091">
      <w:pPr>
        <w:pStyle w:val="ListParagraph"/>
        <w:numPr>
          <w:ilvl w:val="0"/>
          <w:numId w:val="21"/>
        </w:numPr>
        <w:ind w:left="360"/>
        <w:rPr>
          <w:bCs/>
        </w:rPr>
      </w:pPr>
      <w:r w:rsidRPr="009620AD">
        <w:rPr>
          <w:bCs/>
        </w:rPr>
        <w:t xml:space="preserve">McKesson Corporation InterQual® criteria </w:t>
      </w:r>
    </w:p>
    <w:p w14:paraId="3C532744" w14:textId="34AFA4CD" w:rsidR="003E357D" w:rsidRDefault="009620AD" w:rsidP="003E357D">
      <w:pPr>
        <w:pStyle w:val="ListParagraph"/>
        <w:numPr>
          <w:ilvl w:val="0"/>
          <w:numId w:val="21"/>
        </w:numPr>
        <w:ind w:left="360"/>
        <w:rPr>
          <w:bCs/>
        </w:rPr>
      </w:pPr>
      <w:r w:rsidRPr="003E357D">
        <w:rPr>
          <w:bCs/>
        </w:rPr>
        <w:t xml:space="preserve">U.S. Department of Health and Human Services, National Institutes of Health and National Heart, Lung, and Blood Institute.  Evidence-based management of sickle cell disease.  Expert Panel Report, 2014.  Accessed </w:t>
      </w:r>
      <w:r w:rsidR="009207E3">
        <w:rPr>
          <w:bCs/>
        </w:rPr>
        <w:t>06/21/19</w:t>
      </w:r>
      <w:r w:rsidRPr="003E357D">
        <w:rPr>
          <w:bCs/>
        </w:rPr>
        <w:t xml:space="preserve"> at</w:t>
      </w:r>
      <w:r w:rsidR="003E357D" w:rsidRPr="003E357D">
        <w:t xml:space="preserve"> </w:t>
      </w:r>
      <w:hyperlink r:id="rId14" w:history="1">
        <w:r w:rsidR="003E357D" w:rsidRPr="00CB1ADD">
          <w:rPr>
            <w:rStyle w:val="Hyperlink"/>
            <w:bCs/>
          </w:rPr>
          <w:t>https://www.nhlbi.nih.</w:t>
        </w:r>
        <w:bookmarkStart w:id="1" w:name="_GoBack"/>
        <w:bookmarkEnd w:id="1"/>
        <w:r w:rsidR="003E357D" w:rsidRPr="00CB1ADD">
          <w:rPr>
            <w:rStyle w:val="Hyperlink"/>
            <w:bCs/>
          </w:rPr>
          <w:t>g</w:t>
        </w:r>
        <w:r w:rsidR="003E357D" w:rsidRPr="00CB1ADD">
          <w:rPr>
            <w:rStyle w:val="Hyperlink"/>
            <w:bCs/>
          </w:rPr>
          <w:t>ov/health-topics/evidence-based-management-sickle-cell-disease</w:t>
        </w:r>
      </w:hyperlink>
    </w:p>
    <w:p w14:paraId="3C532745" w14:textId="1CD2DE01" w:rsidR="00963062" w:rsidRPr="003E357D" w:rsidRDefault="009620AD" w:rsidP="003E357D">
      <w:pPr>
        <w:pStyle w:val="ListParagraph"/>
        <w:numPr>
          <w:ilvl w:val="0"/>
          <w:numId w:val="21"/>
        </w:numPr>
        <w:ind w:left="360"/>
        <w:rPr>
          <w:bCs/>
        </w:rPr>
      </w:pPr>
      <w:r w:rsidRPr="003E357D">
        <w:rPr>
          <w:bCs/>
        </w:rPr>
        <w:t>Vichinsky EP.  Overview of the clinical manifestations of sickle cell disease.  In: UpToDate, Schrier SL (Ed), UpToDate, Waltham, MA, 2014.</w:t>
      </w:r>
      <w:r w:rsidR="009815BC" w:rsidRPr="003E357D">
        <w:rPr>
          <w:bCs/>
        </w:rPr>
        <w:t xml:space="preserve"> Accessed </w:t>
      </w:r>
      <w:r w:rsidR="003C35FE">
        <w:rPr>
          <w:bCs/>
        </w:rPr>
        <w:t>06/21/19</w:t>
      </w:r>
      <w:r w:rsidR="00F44E92" w:rsidRPr="003E357D">
        <w:rPr>
          <w:bCs/>
        </w:rPr>
        <w:t>.</w:t>
      </w:r>
    </w:p>
    <w:p w14:paraId="3C532747" w14:textId="27C235A3" w:rsidR="00732F4E" w:rsidRPr="009620AD" w:rsidRDefault="00732F4E" w:rsidP="00474260">
      <w:pPr>
        <w:pStyle w:val="ListParagraph"/>
        <w:numPr>
          <w:ilvl w:val="0"/>
          <w:numId w:val="21"/>
        </w:numPr>
        <w:ind w:left="360"/>
        <w:rPr>
          <w:bCs/>
        </w:rPr>
      </w:pPr>
      <w:r w:rsidRPr="00732F4E">
        <w:rPr>
          <w:bCs/>
        </w:rPr>
        <w:t>Cline DM, Silva S, Freiermuth CE</w:t>
      </w:r>
      <w:r>
        <w:rPr>
          <w:bCs/>
        </w:rPr>
        <w:t xml:space="preserve">, et al.  </w:t>
      </w:r>
      <w:r w:rsidRPr="00732F4E">
        <w:rPr>
          <w:bCs/>
        </w:rPr>
        <w:t>Emergency Department (ED), ED Observation, Day Hospital, and Hospital Admissions for Adults with Sickle Cell Disease.</w:t>
      </w:r>
      <w:r>
        <w:rPr>
          <w:bCs/>
        </w:rPr>
        <w:t xml:space="preserve">  </w:t>
      </w:r>
      <w:r w:rsidRPr="00732F4E">
        <w:rPr>
          <w:bCs/>
        </w:rPr>
        <w:t>West J Emerg Med. 2018 Mar;19(2):311-318.</w:t>
      </w:r>
    </w:p>
    <w:p w14:paraId="3C532748" w14:textId="77777777" w:rsidR="001148A8" w:rsidRPr="00963062" w:rsidRDefault="001148A8" w:rsidP="00963062"/>
    <w:p w14:paraId="3C532749" w14:textId="77777777" w:rsidR="00DD6ADB" w:rsidRPr="00146C6E" w:rsidRDefault="00C06257" w:rsidP="009620AD">
      <w:pPr>
        <w:rPr>
          <w:rFonts w:eastAsiaTheme="minorHAnsi"/>
          <w:b/>
          <w:u w:val="single"/>
        </w:rPr>
      </w:pPr>
      <w:bookmarkStart w:id="2" w:name="Important_Reminder"/>
      <w:r w:rsidRPr="00146C6E">
        <w:rPr>
          <w:rFonts w:eastAsiaTheme="minorHAnsi"/>
          <w:b/>
          <w:bCs/>
          <w:u w:val="single"/>
        </w:rPr>
        <w:t>Important R</w:t>
      </w:r>
      <w:r w:rsidR="005D7B81" w:rsidRPr="00146C6E">
        <w:rPr>
          <w:rFonts w:eastAsiaTheme="minorHAnsi"/>
          <w:b/>
          <w:bCs/>
          <w:u w:val="single"/>
        </w:rPr>
        <w:t>eminder</w:t>
      </w:r>
      <w:bookmarkEnd w:id="2"/>
    </w:p>
    <w:p w14:paraId="3C53274A" w14:textId="77777777" w:rsidR="00DD6ADB" w:rsidRPr="00146C6E" w:rsidRDefault="00DD6ADB" w:rsidP="009620AD">
      <w:pPr>
        <w:rPr>
          <w:rFonts w:eastAsiaTheme="minorHAnsi"/>
        </w:rPr>
      </w:pPr>
      <w:r w:rsidRPr="00146C6E">
        <w:rPr>
          <w:rFonts w:eastAsiaTheme="minorHAnsi"/>
        </w:rPr>
        <w:lastRenderedPageBreak/>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rFonts w:eastAsiaTheme="minorHAnsi"/>
          <w:iCs/>
        </w:rPr>
        <w:t>The Health Plan</w:t>
      </w:r>
      <w:r w:rsidRPr="00146C6E">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3C53274B" w14:textId="77777777" w:rsidR="00DD6ADB" w:rsidRPr="00146C6E" w:rsidRDefault="00DD6ADB" w:rsidP="009620AD">
      <w:pPr>
        <w:rPr>
          <w:rFonts w:eastAsiaTheme="minorHAnsi"/>
        </w:rPr>
      </w:pPr>
    </w:p>
    <w:p w14:paraId="3C53274C" w14:textId="77777777" w:rsidR="00DD6ADB" w:rsidRPr="00146C6E" w:rsidRDefault="00DD6ADB" w:rsidP="009620AD">
      <w:pPr>
        <w:rPr>
          <w:rFonts w:eastAsiaTheme="minorHAnsi"/>
        </w:rPr>
      </w:pPr>
      <w:r w:rsidRPr="00146C6E">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3C53274D" w14:textId="77777777" w:rsidR="00DD6ADB" w:rsidRPr="00146C6E" w:rsidRDefault="00DD6ADB" w:rsidP="009620AD">
      <w:pPr>
        <w:rPr>
          <w:rFonts w:eastAsiaTheme="minorHAnsi"/>
        </w:rPr>
      </w:pPr>
    </w:p>
    <w:p w14:paraId="3C53274E" w14:textId="77777777" w:rsidR="00DD6ADB" w:rsidRPr="00146C6E" w:rsidRDefault="00DD6ADB" w:rsidP="009620AD">
      <w:pPr>
        <w:rPr>
          <w:color w:val="002868"/>
        </w:rPr>
      </w:pPr>
      <w:r w:rsidRPr="00146C6E">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3C53274F" w14:textId="77777777" w:rsidR="00DD6ADB" w:rsidRPr="00146C6E" w:rsidRDefault="00DD6ADB" w:rsidP="009620AD">
      <w:pPr>
        <w:rPr>
          <w:rFonts w:eastAsiaTheme="minorHAnsi"/>
        </w:rPr>
      </w:pPr>
    </w:p>
    <w:p w14:paraId="3C532750" w14:textId="77777777" w:rsidR="00DD6ADB" w:rsidRPr="00146C6E" w:rsidRDefault="00DD6ADB" w:rsidP="009620AD">
      <w:pPr>
        <w:rPr>
          <w:rFonts w:eastAsiaTheme="minorHAnsi"/>
        </w:rPr>
      </w:pPr>
      <w:r w:rsidRPr="00146C6E">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3C532751" w14:textId="77777777" w:rsidR="00DD6ADB" w:rsidRPr="00146C6E" w:rsidRDefault="00DD6ADB" w:rsidP="009620AD">
      <w:pPr>
        <w:rPr>
          <w:rFonts w:eastAsiaTheme="minorHAnsi"/>
        </w:rPr>
      </w:pPr>
    </w:p>
    <w:p w14:paraId="3C532752" w14:textId="77777777" w:rsidR="00DD6ADB" w:rsidRPr="00146C6E" w:rsidRDefault="00DD6ADB" w:rsidP="009620AD">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3C532753" w14:textId="77777777" w:rsidR="00DD6ADB" w:rsidRPr="00146C6E" w:rsidRDefault="00DD6ADB" w:rsidP="009620AD">
      <w:pPr>
        <w:rPr>
          <w:rFonts w:eastAsiaTheme="minorHAnsi"/>
        </w:rPr>
      </w:pPr>
    </w:p>
    <w:p w14:paraId="3C532754" w14:textId="77777777" w:rsidR="00DD6ADB" w:rsidRPr="00146C6E" w:rsidRDefault="00DD6ADB" w:rsidP="009620AD">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3C532755" w14:textId="77777777" w:rsidR="00DD6ADB" w:rsidRPr="00146C6E" w:rsidRDefault="00DD6ADB" w:rsidP="009620AD">
      <w:pPr>
        <w:autoSpaceDE w:val="0"/>
        <w:autoSpaceDN w:val="0"/>
        <w:adjustRightInd w:val="0"/>
        <w:rPr>
          <w:rFonts w:eastAsiaTheme="minorHAnsi"/>
          <w:color w:val="000000"/>
        </w:rPr>
      </w:pPr>
    </w:p>
    <w:p w14:paraId="3C532756" w14:textId="77777777" w:rsidR="00DD6ADB" w:rsidRPr="00146C6E" w:rsidRDefault="00DD6ADB" w:rsidP="009620AD">
      <w:pPr>
        <w:autoSpaceDE w:val="0"/>
        <w:autoSpaceDN w:val="0"/>
        <w:adjustRightInd w:val="0"/>
        <w:rPr>
          <w:rFonts w:eastAsiaTheme="minorHAnsi"/>
          <w:color w:val="000000"/>
        </w:rPr>
      </w:pPr>
      <w:r w:rsidRPr="00146C6E">
        <w:rPr>
          <w:rFonts w:eastAsiaTheme="minorHAnsi"/>
          <w:b/>
          <w:color w:val="000000"/>
        </w:rPr>
        <w:lastRenderedPageBreak/>
        <w:t>Note: For Medicaid members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3C532757" w14:textId="77777777" w:rsidR="00DD6ADB" w:rsidRPr="00146C6E" w:rsidRDefault="00DD6ADB" w:rsidP="009620AD">
      <w:pPr>
        <w:rPr>
          <w:rFonts w:eastAsiaTheme="minorHAnsi"/>
        </w:rPr>
      </w:pPr>
    </w:p>
    <w:p w14:paraId="3C532758" w14:textId="77777777" w:rsidR="00DD6ADB" w:rsidRPr="00146C6E" w:rsidRDefault="00DD6ADB" w:rsidP="009620AD">
      <w:pPr>
        <w:autoSpaceDE w:val="0"/>
        <w:autoSpaceDN w:val="0"/>
        <w:adjustRightInd w:val="0"/>
        <w:rPr>
          <w:color w:val="000000"/>
        </w:rPr>
      </w:pPr>
      <w:r w:rsidRPr="00146C6E">
        <w:rPr>
          <w:rFonts w:eastAsiaTheme="minorHAnsi"/>
          <w:b/>
          <w:bCs/>
          <w:color w:val="000000"/>
        </w:rPr>
        <w:t xml:space="preserve">Note: For Medicare members, </w:t>
      </w:r>
      <w:r w:rsidRPr="00146C6E">
        <w:rPr>
          <w:rFonts w:eastAsiaTheme="minorHAnsi"/>
          <w:color w:val="000000"/>
        </w:rPr>
        <w:t>to ensure consistency with the Medicare National Coverage Determinations (NCD) and Local Coverage Determinations (LCD), all applicable NCDs</w:t>
      </w:r>
      <w:r w:rsidR="002E5306">
        <w:rPr>
          <w:rFonts w:eastAsiaTheme="minorHAnsi"/>
          <w:color w:val="000000"/>
        </w:rPr>
        <w:t>,</w:t>
      </w:r>
      <w:r w:rsidRPr="00146C6E">
        <w:rPr>
          <w:rFonts w:eastAsiaTheme="minorHAnsi"/>
          <w:color w:val="000000"/>
        </w:rPr>
        <w:t xml:space="preserve"> LCDs</w:t>
      </w:r>
      <w:r w:rsidR="002E5306">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15"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3C532759" w14:textId="77777777" w:rsidR="00875924" w:rsidRPr="00146C6E" w:rsidRDefault="00875924" w:rsidP="009620AD">
      <w:pPr>
        <w:rPr>
          <w:iCs/>
        </w:rPr>
      </w:pPr>
    </w:p>
    <w:p w14:paraId="3C53275A" w14:textId="77777777" w:rsidR="00C75BD4" w:rsidRPr="00146C6E" w:rsidRDefault="00C75BD4" w:rsidP="009620AD">
      <w:pPr>
        <w:rPr>
          <w:iCs/>
        </w:rPr>
      </w:pPr>
      <w:r w:rsidRPr="00146C6E">
        <w:rPr>
          <w:iCs/>
        </w:rPr>
        <w:t>©201</w:t>
      </w:r>
      <w:r w:rsidR="00493710" w:rsidRPr="00146C6E">
        <w:rPr>
          <w:iCs/>
        </w:rPr>
        <w:t>6</w:t>
      </w:r>
      <w:r w:rsidRPr="00146C6E">
        <w:rPr>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Pr="00146C6E">
        <w:rPr>
          <w:iCs/>
          <w:vertAlign w:val="superscript"/>
        </w:rPr>
        <w:t>®</w:t>
      </w:r>
      <w:r w:rsidRPr="00146C6E">
        <w:rPr>
          <w:iCs/>
        </w:rPr>
        <w:t xml:space="preserve"> and Centene Corporation</w:t>
      </w:r>
      <w:r w:rsidRPr="00146C6E">
        <w:rPr>
          <w:iCs/>
          <w:vertAlign w:val="superscript"/>
        </w:rPr>
        <w:t>®</w:t>
      </w:r>
      <w:r w:rsidRPr="00146C6E">
        <w:rPr>
          <w:iCs/>
        </w:rPr>
        <w:t xml:space="preserve"> are registered trademarks exclusively owned by Centene Corporation.</w:t>
      </w:r>
    </w:p>
    <w:p w14:paraId="3C53275B" w14:textId="77777777" w:rsidR="00C75BD4" w:rsidRDefault="00C75BD4" w:rsidP="009620AD"/>
    <w:sectPr w:rsidR="00C75BD4"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3275E" w14:textId="77777777" w:rsidR="00462BC6" w:rsidRDefault="00462BC6">
      <w:r>
        <w:separator/>
      </w:r>
    </w:p>
  </w:endnote>
  <w:endnote w:type="continuationSeparator" w:id="0">
    <w:p w14:paraId="3C53275F" w14:textId="77777777" w:rsidR="00462BC6" w:rsidRDefault="0046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2762" w14:textId="446B6C38" w:rsidR="007D7311" w:rsidRPr="00D574CA" w:rsidRDefault="007D7311" w:rsidP="00D574CA">
    <w:pPr>
      <w:pStyle w:val="Footer"/>
      <w:jc w:val="center"/>
    </w:pPr>
    <w:r>
      <w:t xml:space="preserve">Page </w:t>
    </w:r>
    <w:r>
      <w:rPr>
        <w:b/>
        <w:bCs/>
      </w:rPr>
      <w:fldChar w:fldCharType="begin"/>
    </w:r>
    <w:r>
      <w:rPr>
        <w:b/>
        <w:bCs/>
      </w:rPr>
      <w:instrText xml:space="preserve"> PAGE </w:instrText>
    </w:r>
    <w:r>
      <w:rPr>
        <w:b/>
        <w:bCs/>
      </w:rPr>
      <w:fldChar w:fldCharType="separate"/>
    </w:r>
    <w:r w:rsidR="000918A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0918AE">
      <w:rPr>
        <w:b/>
        <w:bCs/>
        <w:noProof/>
      </w:rPr>
      <w:t>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2764" w14:textId="3A8A3023" w:rsidR="007D7311" w:rsidRDefault="007D7311" w:rsidP="002C6AAB">
    <w:pPr>
      <w:pStyle w:val="Footer"/>
      <w:jc w:val="center"/>
    </w:pPr>
    <w:r>
      <w:t xml:space="preserve">Page </w:t>
    </w:r>
    <w:r>
      <w:fldChar w:fldCharType="begin"/>
    </w:r>
    <w:r>
      <w:instrText xml:space="preserve"> PAGE   \* MERGEFORMAT </w:instrText>
    </w:r>
    <w:r>
      <w:fldChar w:fldCharType="separate"/>
    </w:r>
    <w:r w:rsidR="000918AE">
      <w:rPr>
        <w:noProof/>
      </w:rPr>
      <w:t>1</w:t>
    </w:r>
    <w:r>
      <w:fldChar w:fldCharType="end"/>
    </w:r>
    <w:r>
      <w:t xml:space="preserve"> of </w:t>
    </w:r>
    <w:r w:rsidR="00EF320C">
      <w:rPr>
        <w:noProof/>
      </w:rPr>
      <w:fldChar w:fldCharType="begin"/>
    </w:r>
    <w:r w:rsidR="00EF320C">
      <w:rPr>
        <w:noProof/>
      </w:rPr>
      <w:instrText xml:space="preserve"> NUMPAGES   \* MERGEFORMAT </w:instrText>
    </w:r>
    <w:r w:rsidR="00EF320C">
      <w:rPr>
        <w:noProof/>
      </w:rPr>
      <w:fldChar w:fldCharType="separate"/>
    </w:r>
    <w:r w:rsidR="000918AE">
      <w:rPr>
        <w:noProof/>
      </w:rPr>
      <w:t>4</w:t>
    </w:r>
    <w:r w:rsidR="00EF320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3275C" w14:textId="77777777" w:rsidR="00462BC6" w:rsidRDefault="00462BC6">
      <w:r>
        <w:separator/>
      </w:r>
    </w:p>
  </w:footnote>
  <w:footnote w:type="continuationSeparator" w:id="0">
    <w:p w14:paraId="3C53275D" w14:textId="77777777" w:rsidR="00462BC6" w:rsidRDefault="00462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2760" w14:textId="77777777" w:rsidR="007D7311" w:rsidRPr="00B777AF" w:rsidRDefault="007D7311"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noProof/>
        <w:color w:val="00548C"/>
      </w:rPr>
      <w:drawing>
        <wp:inline distT="0" distB="0" distL="0" distR="0" wp14:anchorId="3C532765" wp14:editId="3C532766">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3C532761" w14:textId="77777777" w:rsidR="007D7311" w:rsidRPr="00B777AF" w:rsidRDefault="007D7311" w:rsidP="00B777AF">
    <w:pPr>
      <w:rPr>
        <w:color w:val="00548C"/>
      </w:rPr>
    </w:pPr>
    <w:r>
      <w:rPr>
        <w:rFonts w:ascii="Times New Roman Bold" w:hAnsi="Times New Roman Bold"/>
        <w:b/>
        <w:bCs/>
        <w:color w:val="00548C"/>
      </w:rPr>
      <w:t>Sickle Cell Disease Observation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2763" w14:textId="77777777" w:rsidR="007D7311" w:rsidRDefault="007D7311" w:rsidP="00B777AF">
    <w:pPr>
      <w:pStyle w:val="Header"/>
      <w:jc w:val="right"/>
    </w:pPr>
    <w:r>
      <w:rPr>
        <w:noProof/>
      </w:rPr>
      <w:drawing>
        <wp:inline distT="0" distB="0" distL="0" distR="0" wp14:anchorId="3C532767" wp14:editId="3C532768">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07FA3"/>
    <w:multiLevelType w:val="hybridMultilevel"/>
    <w:tmpl w:val="E582444C"/>
    <w:lvl w:ilvl="0" w:tplc="8F16D3C6">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8B1A41"/>
    <w:multiLevelType w:val="hybridMultilevel"/>
    <w:tmpl w:val="C08E9C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67605"/>
    <w:multiLevelType w:val="hybridMultilevel"/>
    <w:tmpl w:val="BB3C6FE4"/>
    <w:lvl w:ilvl="0" w:tplc="3702C3B0">
      <w:start w:val="5"/>
      <w:numFmt w:val="decimal"/>
      <w:lvlText w:val="%1."/>
      <w:lvlJc w:val="left"/>
      <w:pPr>
        <w:ind w:left="2340" w:hanging="360"/>
      </w:pPr>
      <w:rPr>
        <w:rFonts w:hint="default"/>
        <w:i/>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E3D0A"/>
    <w:multiLevelType w:val="hybridMultilevel"/>
    <w:tmpl w:val="6CF4423A"/>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8"/>
  </w:num>
  <w:num w:numId="4">
    <w:abstractNumId w:val="11"/>
  </w:num>
  <w:num w:numId="5">
    <w:abstractNumId w:val="12"/>
  </w:num>
  <w:num w:numId="6">
    <w:abstractNumId w:val="17"/>
  </w:num>
  <w:num w:numId="7">
    <w:abstractNumId w:val="18"/>
  </w:num>
  <w:num w:numId="8">
    <w:abstractNumId w:val="2"/>
  </w:num>
  <w:num w:numId="9">
    <w:abstractNumId w:val="14"/>
  </w:num>
  <w:num w:numId="10">
    <w:abstractNumId w:val="6"/>
  </w:num>
  <w:num w:numId="11">
    <w:abstractNumId w:val="21"/>
  </w:num>
  <w:num w:numId="12">
    <w:abstractNumId w:val="10"/>
  </w:num>
  <w:num w:numId="13">
    <w:abstractNumId w:val="9"/>
  </w:num>
  <w:num w:numId="14">
    <w:abstractNumId w:val="4"/>
  </w:num>
  <w:num w:numId="15">
    <w:abstractNumId w:val="7"/>
  </w:num>
  <w:num w:numId="16">
    <w:abstractNumId w:val="20"/>
  </w:num>
  <w:num w:numId="17">
    <w:abstractNumId w:val="15"/>
  </w:num>
  <w:num w:numId="18">
    <w:abstractNumId w:val="13"/>
  </w:num>
  <w:num w:numId="19">
    <w:abstractNumId w:val="5"/>
  </w:num>
  <w:num w:numId="20">
    <w:abstractNumId w:val="3"/>
  </w:num>
  <w:num w:numId="21">
    <w:abstractNumId w:val="16"/>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32D3F"/>
    <w:rsid w:val="00035153"/>
    <w:rsid w:val="000465DE"/>
    <w:rsid w:val="0004733E"/>
    <w:rsid w:val="00060509"/>
    <w:rsid w:val="000715C8"/>
    <w:rsid w:val="000723AC"/>
    <w:rsid w:val="00083740"/>
    <w:rsid w:val="000918AE"/>
    <w:rsid w:val="00094136"/>
    <w:rsid w:val="000A39C0"/>
    <w:rsid w:val="000E7C3F"/>
    <w:rsid w:val="000F10C2"/>
    <w:rsid w:val="000F737D"/>
    <w:rsid w:val="00110559"/>
    <w:rsid w:val="001148A8"/>
    <w:rsid w:val="0014316D"/>
    <w:rsid w:val="00146C6E"/>
    <w:rsid w:val="00170B14"/>
    <w:rsid w:val="001818D7"/>
    <w:rsid w:val="00185104"/>
    <w:rsid w:val="001962BE"/>
    <w:rsid w:val="00196689"/>
    <w:rsid w:val="00196935"/>
    <w:rsid w:val="0019746F"/>
    <w:rsid w:val="001A3351"/>
    <w:rsid w:val="001D0D34"/>
    <w:rsid w:val="001D70D4"/>
    <w:rsid w:val="001E7D12"/>
    <w:rsid w:val="001F6850"/>
    <w:rsid w:val="0020675F"/>
    <w:rsid w:val="00212DB6"/>
    <w:rsid w:val="00220736"/>
    <w:rsid w:val="00230FE4"/>
    <w:rsid w:val="00233651"/>
    <w:rsid w:val="00237A18"/>
    <w:rsid w:val="00237AEA"/>
    <w:rsid w:val="00240052"/>
    <w:rsid w:val="002422B1"/>
    <w:rsid w:val="00254020"/>
    <w:rsid w:val="0025452A"/>
    <w:rsid w:val="00285997"/>
    <w:rsid w:val="002A39EE"/>
    <w:rsid w:val="002B0582"/>
    <w:rsid w:val="002C6AAB"/>
    <w:rsid w:val="002D019A"/>
    <w:rsid w:val="002D1FD8"/>
    <w:rsid w:val="002E48E7"/>
    <w:rsid w:val="002E5306"/>
    <w:rsid w:val="003117CD"/>
    <w:rsid w:val="003140D6"/>
    <w:rsid w:val="00325AFE"/>
    <w:rsid w:val="00335F54"/>
    <w:rsid w:val="00336E37"/>
    <w:rsid w:val="003424C3"/>
    <w:rsid w:val="00350F22"/>
    <w:rsid w:val="00376714"/>
    <w:rsid w:val="003840CC"/>
    <w:rsid w:val="003C35FE"/>
    <w:rsid w:val="003D7BE7"/>
    <w:rsid w:val="003E357D"/>
    <w:rsid w:val="003F3D44"/>
    <w:rsid w:val="00462BC6"/>
    <w:rsid w:val="004656EB"/>
    <w:rsid w:val="00472C6C"/>
    <w:rsid w:val="00474260"/>
    <w:rsid w:val="00480C09"/>
    <w:rsid w:val="0049355C"/>
    <w:rsid w:val="00493710"/>
    <w:rsid w:val="00496BCF"/>
    <w:rsid w:val="00497AED"/>
    <w:rsid w:val="004C134F"/>
    <w:rsid w:val="004E0B99"/>
    <w:rsid w:val="004F6394"/>
    <w:rsid w:val="00505830"/>
    <w:rsid w:val="005103B8"/>
    <w:rsid w:val="005423D4"/>
    <w:rsid w:val="005537B0"/>
    <w:rsid w:val="005776FD"/>
    <w:rsid w:val="00583376"/>
    <w:rsid w:val="005C17DF"/>
    <w:rsid w:val="005C3607"/>
    <w:rsid w:val="005D009F"/>
    <w:rsid w:val="005D5146"/>
    <w:rsid w:val="005D7B81"/>
    <w:rsid w:val="005E22C2"/>
    <w:rsid w:val="005E411E"/>
    <w:rsid w:val="005F051C"/>
    <w:rsid w:val="005F16A5"/>
    <w:rsid w:val="006474BB"/>
    <w:rsid w:val="006664E9"/>
    <w:rsid w:val="006A01DC"/>
    <w:rsid w:val="006C74DF"/>
    <w:rsid w:val="006F4D70"/>
    <w:rsid w:val="007163E2"/>
    <w:rsid w:val="00732F4E"/>
    <w:rsid w:val="00744250"/>
    <w:rsid w:val="007764CE"/>
    <w:rsid w:val="007A0BCC"/>
    <w:rsid w:val="007B07AE"/>
    <w:rsid w:val="007B50D0"/>
    <w:rsid w:val="007D4801"/>
    <w:rsid w:val="007D6D9D"/>
    <w:rsid w:val="007D7311"/>
    <w:rsid w:val="007F1F19"/>
    <w:rsid w:val="00803173"/>
    <w:rsid w:val="0085795D"/>
    <w:rsid w:val="00857C10"/>
    <w:rsid w:val="0087309E"/>
    <w:rsid w:val="00875924"/>
    <w:rsid w:val="00877EC7"/>
    <w:rsid w:val="00890091"/>
    <w:rsid w:val="00896E94"/>
    <w:rsid w:val="008A1B72"/>
    <w:rsid w:val="008B0705"/>
    <w:rsid w:val="008C6B3A"/>
    <w:rsid w:val="008C71B0"/>
    <w:rsid w:val="008F57F2"/>
    <w:rsid w:val="00902C9B"/>
    <w:rsid w:val="009135E0"/>
    <w:rsid w:val="00913BED"/>
    <w:rsid w:val="00915CA4"/>
    <w:rsid w:val="009207E3"/>
    <w:rsid w:val="00950820"/>
    <w:rsid w:val="00961071"/>
    <w:rsid w:val="009620AD"/>
    <w:rsid w:val="00963062"/>
    <w:rsid w:val="009735FA"/>
    <w:rsid w:val="00974FBF"/>
    <w:rsid w:val="00977ECA"/>
    <w:rsid w:val="009815BC"/>
    <w:rsid w:val="00982180"/>
    <w:rsid w:val="009928B2"/>
    <w:rsid w:val="009C61B2"/>
    <w:rsid w:val="009D5928"/>
    <w:rsid w:val="009E6F29"/>
    <w:rsid w:val="00A20F73"/>
    <w:rsid w:val="00A41969"/>
    <w:rsid w:val="00A4676C"/>
    <w:rsid w:val="00A60413"/>
    <w:rsid w:val="00A83658"/>
    <w:rsid w:val="00A85489"/>
    <w:rsid w:val="00A87B1F"/>
    <w:rsid w:val="00AA1EB6"/>
    <w:rsid w:val="00AA336E"/>
    <w:rsid w:val="00AA428E"/>
    <w:rsid w:val="00AD1AA6"/>
    <w:rsid w:val="00AF1F2A"/>
    <w:rsid w:val="00AF30EF"/>
    <w:rsid w:val="00AF5490"/>
    <w:rsid w:val="00B4633B"/>
    <w:rsid w:val="00B60B56"/>
    <w:rsid w:val="00B777AF"/>
    <w:rsid w:val="00B81789"/>
    <w:rsid w:val="00B92DF1"/>
    <w:rsid w:val="00BF4150"/>
    <w:rsid w:val="00C01AA6"/>
    <w:rsid w:val="00C04EAA"/>
    <w:rsid w:val="00C06257"/>
    <w:rsid w:val="00C079B0"/>
    <w:rsid w:val="00C14250"/>
    <w:rsid w:val="00C2297C"/>
    <w:rsid w:val="00C64BB4"/>
    <w:rsid w:val="00C73CF5"/>
    <w:rsid w:val="00C75BD4"/>
    <w:rsid w:val="00C96847"/>
    <w:rsid w:val="00CA53B9"/>
    <w:rsid w:val="00CA5C08"/>
    <w:rsid w:val="00CF19A8"/>
    <w:rsid w:val="00CF2624"/>
    <w:rsid w:val="00D36448"/>
    <w:rsid w:val="00D41EF4"/>
    <w:rsid w:val="00D43987"/>
    <w:rsid w:val="00D574CA"/>
    <w:rsid w:val="00D71BC4"/>
    <w:rsid w:val="00D73848"/>
    <w:rsid w:val="00DB1DE9"/>
    <w:rsid w:val="00DB7073"/>
    <w:rsid w:val="00DD025A"/>
    <w:rsid w:val="00DD6ADB"/>
    <w:rsid w:val="00DD7D7A"/>
    <w:rsid w:val="00DE18E2"/>
    <w:rsid w:val="00E97C17"/>
    <w:rsid w:val="00EA3809"/>
    <w:rsid w:val="00ED0A0D"/>
    <w:rsid w:val="00EE0B47"/>
    <w:rsid w:val="00EE3C49"/>
    <w:rsid w:val="00EF320C"/>
    <w:rsid w:val="00F03DC0"/>
    <w:rsid w:val="00F14079"/>
    <w:rsid w:val="00F2705D"/>
    <w:rsid w:val="00F36552"/>
    <w:rsid w:val="00F422E1"/>
    <w:rsid w:val="00F424FF"/>
    <w:rsid w:val="00F44E92"/>
    <w:rsid w:val="00F67BBD"/>
    <w:rsid w:val="00F71F8E"/>
    <w:rsid w:val="00F74762"/>
    <w:rsid w:val="00F95133"/>
    <w:rsid w:val="00FA4E37"/>
    <w:rsid w:val="00FB0592"/>
    <w:rsid w:val="00FB139B"/>
    <w:rsid w:val="00FE290A"/>
    <w:rsid w:val="00FE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5326FF"/>
  <w15:docId w15:val="{5BC2FC9E-B5D5-457D-9125-128610B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ms.gov"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lbi.nih.gov/health-topics/evidence-based-management-sickle-cell-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9664D-8C4D-4E3E-ABAA-269F7A1B91E3}">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65128B7-84C7-446C-8F69-D8B58766D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D541DD-B3A8-4114-9B2A-AF1304D9F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8566</Characters>
  <Application>Microsoft Office Word</Application>
  <DocSecurity>2</DocSecurity>
  <Lines>71</Lines>
  <Paragraphs>19</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Marianne E. Santoro</cp:lastModifiedBy>
  <cp:revision>2</cp:revision>
  <cp:lastPrinted>2019-06-05T13:24:00Z</cp:lastPrinted>
  <dcterms:created xsi:type="dcterms:W3CDTF">2019-07-16T16:44:00Z</dcterms:created>
  <dcterms:modified xsi:type="dcterms:W3CDTF">2019-07-16T16:44:00Z</dcterms:modified>
</cp:coreProperties>
</file>