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BD8A2D1" w14:textId="77777777" w:rsidR="00D574CA" w:rsidRPr="00B777AF" w:rsidRDefault="00230FE4" w:rsidP="00D574CA">
      <w:pPr>
        <w:pStyle w:val="PolicyMainHead"/>
        <w:tabs>
          <w:tab w:val="left" w:pos="360"/>
        </w:tabs>
        <w:spacing w:after="0" w:line="240" w:lineRule="auto"/>
        <w:rPr>
          <w:rFonts w:ascii="Times New Roman" w:hAnsi="Times New Roman"/>
          <w:color w:val="00548C"/>
          <w:sz w:val="36"/>
        </w:rPr>
      </w:pPr>
      <w:r>
        <w:rPr>
          <w:rFonts w:ascii="Times New Roman" w:hAnsi="Times New Roman"/>
          <w:color w:val="00548C"/>
          <w:sz w:val="36"/>
        </w:rPr>
        <w:t xml:space="preserve">Clinical Policy: </w:t>
      </w:r>
      <w:r w:rsidR="000413D1">
        <w:rPr>
          <w:rFonts w:ascii="Times New Roman" w:hAnsi="Times New Roman"/>
          <w:color w:val="00548C"/>
          <w:sz w:val="36"/>
        </w:rPr>
        <w:t>Bone-A</w:t>
      </w:r>
      <w:r w:rsidR="00110958">
        <w:rPr>
          <w:rFonts w:ascii="Times New Roman" w:hAnsi="Times New Roman"/>
          <w:color w:val="00548C"/>
          <w:sz w:val="36"/>
        </w:rPr>
        <w:t>nchored Hearing Aid</w:t>
      </w:r>
    </w:p>
    <w:p w14:paraId="1BD8A2D2" w14:textId="77777777" w:rsidR="00B777AF" w:rsidRDefault="00B777AF" w:rsidP="00D574CA">
      <w:pPr>
        <w:pStyle w:val="PolicyMainHead"/>
        <w:tabs>
          <w:tab w:val="left" w:pos="360"/>
        </w:tabs>
        <w:spacing w:after="0" w:line="240" w:lineRule="auto"/>
        <w:rPr>
          <w:color w:val="00548C"/>
          <w:sz w:val="24"/>
        </w:rPr>
        <w:sectPr w:rsidR="00B777AF" w:rsidSect="00B777AF">
          <w:headerReference w:type="default" r:id="rId11"/>
          <w:footerReference w:type="default" r:id="rId12"/>
          <w:headerReference w:type="first" r:id="rId13"/>
          <w:footerReference w:type="first" r:id="rId14"/>
          <w:pgSz w:w="12240" w:h="15840" w:code="1"/>
          <w:pgMar w:top="1440" w:right="907" w:bottom="1152" w:left="1440" w:header="576" w:footer="288" w:gutter="0"/>
          <w:cols w:space="720"/>
          <w:titlePg/>
          <w:docGrid w:linePitch="360"/>
        </w:sectPr>
      </w:pPr>
    </w:p>
    <w:p w14:paraId="1BD8A2D3" w14:textId="77777777" w:rsidR="00406F6C" w:rsidRPr="003D7BE7" w:rsidRDefault="00D574CA" w:rsidP="00406F6C">
      <w:pPr>
        <w:pStyle w:val="PolicyMainHead"/>
        <w:tabs>
          <w:tab w:val="left" w:pos="360"/>
        </w:tabs>
        <w:spacing w:after="0" w:line="240" w:lineRule="auto"/>
        <w:rPr>
          <w:rFonts w:ascii="Times New Roman" w:hAnsi="Times New Roman"/>
          <w:color w:val="00548C"/>
          <w:sz w:val="24"/>
          <w:szCs w:val="24"/>
        </w:rPr>
        <w:sectPr w:rsidR="00406F6C" w:rsidRPr="003D7BE7" w:rsidSect="00480C09">
          <w:type w:val="continuous"/>
          <w:pgSz w:w="12240" w:h="15840" w:code="1"/>
          <w:pgMar w:top="1440" w:right="1170" w:bottom="1152" w:left="1440" w:header="576" w:footer="288" w:gutter="0"/>
          <w:cols w:num="2" w:space="720"/>
          <w:titlePg/>
          <w:docGrid w:linePitch="360"/>
        </w:sectPr>
      </w:pPr>
      <w:r w:rsidRPr="003D7BE7">
        <w:rPr>
          <w:rFonts w:ascii="Times New Roman" w:hAnsi="Times New Roman"/>
          <w:color w:val="00548C"/>
          <w:sz w:val="24"/>
          <w:szCs w:val="24"/>
        </w:rPr>
        <w:t>Reference Number: CP.</w:t>
      </w:r>
      <w:r w:rsidR="00C96847">
        <w:rPr>
          <w:rFonts w:ascii="Times New Roman" w:hAnsi="Times New Roman"/>
          <w:color w:val="00548C"/>
          <w:sz w:val="24"/>
          <w:szCs w:val="24"/>
        </w:rPr>
        <w:t>MP.</w:t>
      </w:r>
      <w:r w:rsidR="00110958">
        <w:rPr>
          <w:rFonts w:ascii="Times New Roman" w:hAnsi="Times New Roman"/>
          <w:color w:val="00548C"/>
          <w:sz w:val="24"/>
          <w:szCs w:val="24"/>
        </w:rPr>
        <w:t>93</w:t>
      </w:r>
      <w:r w:rsidR="00B777AF" w:rsidRPr="003D7BE7">
        <w:rPr>
          <w:rFonts w:ascii="Times New Roman" w:hAnsi="Times New Roman"/>
          <w:color w:val="00548C"/>
          <w:sz w:val="24"/>
          <w:szCs w:val="24"/>
        </w:rPr>
        <w:tab/>
      </w:r>
      <w:r w:rsidR="00B777AF" w:rsidRPr="003D7BE7">
        <w:rPr>
          <w:rFonts w:ascii="Times New Roman" w:hAnsi="Times New Roman"/>
          <w:color w:val="00548C"/>
          <w:sz w:val="24"/>
          <w:szCs w:val="24"/>
        </w:rPr>
        <w:tab/>
      </w:r>
      <w:r w:rsidR="00B777AF" w:rsidRPr="003D7BE7">
        <w:rPr>
          <w:rFonts w:ascii="Times New Roman" w:hAnsi="Times New Roman"/>
          <w:color w:val="00548C"/>
          <w:sz w:val="24"/>
          <w:szCs w:val="24"/>
        </w:rPr>
        <w:tab/>
      </w:r>
      <w:r w:rsidR="00B777AF" w:rsidRPr="003D7BE7">
        <w:rPr>
          <w:rFonts w:ascii="Times New Roman" w:hAnsi="Times New Roman"/>
          <w:color w:val="00548C"/>
          <w:sz w:val="24"/>
          <w:szCs w:val="24"/>
        </w:rPr>
        <w:tab/>
      </w:r>
      <w:r w:rsidR="00B777AF" w:rsidRPr="003D7BE7">
        <w:rPr>
          <w:rFonts w:ascii="Times New Roman" w:hAnsi="Times New Roman"/>
          <w:color w:val="00548C"/>
          <w:sz w:val="24"/>
          <w:szCs w:val="24"/>
        </w:rPr>
        <w:tab/>
      </w:r>
      <w:r w:rsidR="00B777AF" w:rsidRPr="003D7BE7">
        <w:rPr>
          <w:rFonts w:ascii="Times New Roman" w:hAnsi="Times New Roman"/>
          <w:color w:val="00548C"/>
          <w:sz w:val="24"/>
          <w:szCs w:val="24"/>
        </w:rPr>
        <w:tab/>
      </w:r>
      <w:r w:rsidR="00406F6C">
        <w:rPr>
          <w:rFonts w:ascii="Times New Roman" w:hAnsi="Times New Roman"/>
          <w:color w:val="00548C"/>
          <w:sz w:val="24"/>
          <w:szCs w:val="24"/>
        </w:rPr>
        <w:t xml:space="preserve">     </w:t>
      </w:r>
      <w:hyperlink w:anchor="Coding_Implications" w:history="1">
        <w:r w:rsidR="00406F6C" w:rsidRPr="00875924">
          <w:rPr>
            <w:rStyle w:val="Hyperlink"/>
            <w:rFonts w:ascii="Times New Roman" w:hAnsi="Times New Roman"/>
            <w:sz w:val="24"/>
            <w:szCs w:val="24"/>
          </w:rPr>
          <w:t>Coding Implications</w:t>
        </w:r>
      </w:hyperlink>
      <w:r w:rsidR="00406F6C" w:rsidRPr="003D7BE7">
        <w:rPr>
          <w:rFonts w:ascii="Times New Roman" w:hAnsi="Times New Roman"/>
          <w:color w:val="00548C"/>
          <w:sz w:val="24"/>
          <w:szCs w:val="24"/>
        </w:rPr>
        <w:t xml:space="preserve"> </w:t>
      </w:r>
    </w:p>
    <w:p w14:paraId="1BD8A2D4" w14:textId="25D67DB2" w:rsidR="00406F6C" w:rsidRDefault="00406F6C" w:rsidP="00406F6C">
      <w:pPr>
        <w:pStyle w:val="PolicyMainHead"/>
        <w:tabs>
          <w:tab w:val="left" w:pos="360"/>
        </w:tabs>
        <w:spacing w:after="0" w:line="240" w:lineRule="auto"/>
        <w:rPr>
          <w:rFonts w:ascii="Times New Roman" w:hAnsi="Times New Roman"/>
          <w:color w:val="00548C"/>
          <w:sz w:val="24"/>
          <w:szCs w:val="24"/>
        </w:rPr>
      </w:pPr>
      <w:r w:rsidRPr="003D7BE7">
        <w:rPr>
          <w:rFonts w:ascii="Times New Roman" w:hAnsi="Times New Roman"/>
          <w:color w:val="00548C"/>
          <w:sz w:val="24"/>
          <w:szCs w:val="24"/>
        </w:rPr>
        <w:t xml:space="preserve">Last Review Date: </w:t>
      </w:r>
      <w:r w:rsidR="00725E74">
        <w:rPr>
          <w:rFonts w:ascii="Times New Roman" w:hAnsi="Times New Roman"/>
          <w:color w:val="00548C"/>
          <w:sz w:val="24"/>
          <w:szCs w:val="24"/>
        </w:rPr>
        <w:t>09</w:t>
      </w:r>
      <w:r w:rsidR="0096665E">
        <w:rPr>
          <w:rFonts w:ascii="Times New Roman" w:hAnsi="Times New Roman"/>
          <w:color w:val="00548C"/>
          <w:sz w:val="24"/>
          <w:szCs w:val="24"/>
        </w:rPr>
        <w:t>/19</w:t>
      </w:r>
    </w:p>
    <w:p w14:paraId="1BD8A2D5" w14:textId="77777777" w:rsidR="00406F6C" w:rsidRDefault="00C02815" w:rsidP="00406F6C">
      <w:pPr>
        <w:pStyle w:val="PolicyMainHead"/>
        <w:tabs>
          <w:tab w:val="left" w:pos="360"/>
        </w:tabs>
        <w:spacing w:after="0" w:line="240" w:lineRule="auto"/>
        <w:jc w:val="right"/>
        <w:rPr>
          <w:rStyle w:val="Strong"/>
          <w:rFonts w:ascii="Times New Roman" w:hAnsi="Times New Roman"/>
          <w:b w:val="0"/>
          <w:bCs w:val="0"/>
          <w:u w:val="single"/>
        </w:rPr>
        <w:sectPr w:rsidR="00406F6C" w:rsidSect="00875924">
          <w:type w:val="continuous"/>
          <w:pgSz w:w="12240" w:h="15840" w:code="1"/>
          <w:pgMar w:top="1440" w:right="1170" w:bottom="1440" w:left="1440" w:header="576" w:footer="288" w:gutter="0"/>
          <w:cols w:num="2" w:space="720"/>
          <w:titlePg/>
          <w:docGrid w:linePitch="360"/>
        </w:sectPr>
      </w:pPr>
      <w:hyperlink w:anchor="Revision_Log" w:history="1">
        <w:r w:rsidR="00406F6C" w:rsidRPr="003D7BE7">
          <w:rPr>
            <w:rStyle w:val="Hyperlink"/>
            <w:rFonts w:ascii="Times New Roman" w:hAnsi="Times New Roman"/>
            <w:sz w:val="24"/>
            <w:szCs w:val="24"/>
          </w:rPr>
          <w:t>Revision Log</w:t>
        </w:r>
      </w:hyperlink>
    </w:p>
    <w:p w14:paraId="1BD8A2D6" w14:textId="77777777" w:rsidR="00B777AF" w:rsidRPr="003D7BE7" w:rsidRDefault="00B777AF" w:rsidP="00406F6C">
      <w:pPr>
        <w:pStyle w:val="PolicyMainHead"/>
        <w:spacing w:after="0" w:line="240" w:lineRule="auto"/>
        <w:rPr>
          <w:rFonts w:ascii="Times New Roman" w:hAnsi="Times New Roman"/>
          <w:color w:val="00548C"/>
          <w:sz w:val="24"/>
          <w:szCs w:val="24"/>
        </w:rPr>
        <w:sectPr w:rsidR="00B777AF" w:rsidRPr="003D7BE7" w:rsidSect="00480C09">
          <w:type w:val="continuous"/>
          <w:pgSz w:w="12240" w:h="15840" w:code="1"/>
          <w:pgMar w:top="1440" w:right="1080" w:bottom="1440" w:left="1080" w:header="576" w:footer="288" w:gutter="0"/>
          <w:cols w:num="2" w:space="720"/>
          <w:titlePg/>
          <w:docGrid w:linePitch="360"/>
        </w:sectPr>
      </w:pPr>
    </w:p>
    <w:p w14:paraId="1BD8A2D7" w14:textId="77777777" w:rsidR="006F0C1A" w:rsidRDefault="006F0C1A" w:rsidP="006F0C1A">
      <w:pPr>
        <w:pStyle w:val="NormalWeb"/>
        <w:spacing w:before="0" w:beforeAutospacing="0" w:after="0" w:afterAutospacing="0"/>
        <w:rPr>
          <w:rStyle w:val="Strong"/>
          <w:b w:val="0"/>
          <w:bCs w:val="0"/>
          <w:color w:val="00548C"/>
          <w:u w:val="single"/>
        </w:rPr>
      </w:pPr>
      <w:r>
        <w:rPr>
          <w:rFonts w:ascii="Times New Roman" w:hAnsi="Times New Roman" w:cs="Times New Roman"/>
          <w:b/>
          <w:color w:val="00548C"/>
        </w:rPr>
        <w:t xml:space="preserve">See </w:t>
      </w:r>
      <w:hyperlink w:anchor="Important_Reminder" w:history="1">
        <w:r>
          <w:rPr>
            <w:rStyle w:val="Hyperlink"/>
            <w:rFonts w:ascii="Times New Roman" w:eastAsia="Times New Roman" w:hAnsi="Times New Roman" w:cs="Times New Roman"/>
            <w:noProof/>
          </w:rPr>
          <w:t>Important Reminder</w:t>
        </w:r>
      </w:hyperlink>
      <w:r>
        <w:rPr>
          <w:rFonts w:ascii="Times New Roman" w:hAnsi="Times New Roman" w:cs="Times New Roman"/>
          <w:b/>
          <w:color w:val="00548C"/>
        </w:rPr>
        <w:t xml:space="preserve"> at the end of this policy for important regulatory and legal information.</w:t>
      </w:r>
    </w:p>
    <w:p w14:paraId="1BD8A2D8" w14:textId="77777777" w:rsidR="00C73CF5" w:rsidRDefault="00C73CF5" w:rsidP="006F0C1A">
      <w:pPr>
        <w:pStyle w:val="NormalWeb"/>
        <w:spacing w:before="0" w:beforeAutospacing="0" w:after="0" w:afterAutospacing="0"/>
        <w:rPr>
          <w:rStyle w:val="Strong"/>
          <w:rFonts w:ascii="Times New Roman" w:hAnsi="Times New Roman" w:cs="Times New Roman"/>
          <w:b w:val="0"/>
          <w:bCs w:val="0"/>
          <w:u w:val="single"/>
        </w:rPr>
      </w:pPr>
    </w:p>
    <w:p w14:paraId="1BD8A2D9" w14:textId="77777777" w:rsidR="00583376" w:rsidRPr="002B151A" w:rsidRDefault="00583376" w:rsidP="002B151A">
      <w:pPr>
        <w:pStyle w:val="Heading1"/>
        <w:rPr>
          <w:sz w:val="24"/>
        </w:rPr>
      </w:pPr>
      <w:r w:rsidRPr="002B151A">
        <w:rPr>
          <w:sz w:val="24"/>
        </w:rPr>
        <w:t xml:space="preserve">Description </w:t>
      </w:r>
    </w:p>
    <w:p w14:paraId="1BD8A2DA" w14:textId="77777777" w:rsidR="00ED0A0D" w:rsidRDefault="00724F83" w:rsidP="00196935">
      <w:r>
        <w:t>B</w:t>
      </w:r>
      <w:r w:rsidR="00110958">
        <w:t>one-anchored hearing aids (BAHAs) are an alternative to conventional hearing aids when physical or medical complications prevent adequate functional improvement in hearing.  Sound quality of BA</w:t>
      </w:r>
      <w:r>
        <w:t>HAs is superior to, and pain/</w:t>
      </w:r>
      <w:r w:rsidR="00110958">
        <w:t>discomfort is largely diminished</w:t>
      </w:r>
      <w:r w:rsidR="00C859EC">
        <w:t>,</w:t>
      </w:r>
      <w:r w:rsidR="00110958">
        <w:t xml:space="preserve"> </w:t>
      </w:r>
      <w:r w:rsidR="001A0069">
        <w:t xml:space="preserve">when </w:t>
      </w:r>
      <w:r w:rsidR="00110958">
        <w:t>compared to traditional air</w:t>
      </w:r>
      <w:r>
        <w:t>-</w:t>
      </w:r>
      <w:r w:rsidR="00110958">
        <w:t>conduction hearing aids.</w:t>
      </w:r>
    </w:p>
    <w:p w14:paraId="1BD8A2DB" w14:textId="77777777" w:rsidR="00110958" w:rsidRPr="00B777AF" w:rsidRDefault="00110958" w:rsidP="00196935"/>
    <w:p w14:paraId="1BD8A2DC" w14:textId="77777777" w:rsidR="00583376" w:rsidRPr="00B777AF" w:rsidRDefault="00583376">
      <w:pPr>
        <w:pStyle w:val="Heading2"/>
        <w:rPr>
          <w:u w:val="none"/>
        </w:rPr>
      </w:pPr>
      <w:r w:rsidRPr="00B777AF">
        <w:rPr>
          <w:u w:val="none"/>
        </w:rPr>
        <w:t>Policy/Criteria</w:t>
      </w:r>
    </w:p>
    <w:p w14:paraId="1BD8A2DD" w14:textId="77777777" w:rsidR="00110958" w:rsidRPr="00292E85" w:rsidRDefault="00110958" w:rsidP="00292E85">
      <w:pPr>
        <w:pStyle w:val="ListParagraph"/>
        <w:numPr>
          <w:ilvl w:val="0"/>
          <w:numId w:val="24"/>
        </w:numPr>
        <w:ind w:left="360"/>
        <w:rPr>
          <w:bCs/>
          <w:color w:val="000000"/>
        </w:rPr>
      </w:pPr>
      <w:r w:rsidRPr="00292E85">
        <w:rPr>
          <w:bCs/>
          <w:color w:val="000000"/>
        </w:rPr>
        <w:t>It is the policy of health plans affiliated with Centene Corporation</w:t>
      </w:r>
      <w:r w:rsidRPr="00292E85">
        <w:rPr>
          <w:bCs/>
          <w:color w:val="000000"/>
          <w:vertAlign w:val="superscript"/>
        </w:rPr>
        <w:t>®</w:t>
      </w:r>
      <w:r w:rsidRPr="00292E85">
        <w:rPr>
          <w:bCs/>
          <w:color w:val="000000"/>
        </w:rPr>
        <w:t xml:space="preserve"> that </w:t>
      </w:r>
      <w:r w:rsidR="00292E85" w:rsidRPr="00292E85">
        <w:rPr>
          <w:bCs/>
          <w:color w:val="000000"/>
        </w:rPr>
        <w:t xml:space="preserve">BAHAs </w:t>
      </w:r>
      <w:r w:rsidRPr="00292E85">
        <w:rPr>
          <w:bCs/>
          <w:color w:val="000000"/>
        </w:rPr>
        <w:t xml:space="preserve">are </w:t>
      </w:r>
      <w:r w:rsidRPr="00292E85">
        <w:rPr>
          <w:b/>
          <w:bCs/>
          <w:color w:val="000000"/>
        </w:rPr>
        <w:t>medically necessary</w:t>
      </w:r>
      <w:r w:rsidRPr="00292E85">
        <w:rPr>
          <w:bCs/>
          <w:color w:val="000000"/>
        </w:rPr>
        <w:t xml:space="preserve"> for </w:t>
      </w:r>
      <w:r w:rsidR="00292E85">
        <w:rPr>
          <w:bCs/>
          <w:color w:val="000000"/>
        </w:rPr>
        <w:t>members with</w:t>
      </w:r>
      <w:r w:rsidR="00724F83">
        <w:rPr>
          <w:bCs/>
          <w:color w:val="000000"/>
        </w:rPr>
        <w:t xml:space="preserve"> all of</w:t>
      </w:r>
      <w:r w:rsidR="00292E85">
        <w:rPr>
          <w:bCs/>
          <w:color w:val="000000"/>
        </w:rPr>
        <w:t xml:space="preserve"> the following indications</w:t>
      </w:r>
      <w:r w:rsidRPr="00292E85">
        <w:rPr>
          <w:bCs/>
          <w:color w:val="000000"/>
        </w:rPr>
        <w:t>:</w:t>
      </w:r>
    </w:p>
    <w:p w14:paraId="1BD8A2DE" w14:textId="77777777" w:rsidR="00110958" w:rsidRPr="00292E85" w:rsidRDefault="00292E85" w:rsidP="00292E85">
      <w:pPr>
        <w:numPr>
          <w:ilvl w:val="0"/>
          <w:numId w:val="25"/>
        </w:numPr>
        <w:rPr>
          <w:bCs/>
          <w:color w:val="000000"/>
        </w:rPr>
      </w:pPr>
      <w:r w:rsidRPr="00292E85">
        <w:rPr>
          <w:bCs/>
          <w:i/>
        </w:rPr>
        <w:t>Implantable device</w:t>
      </w:r>
      <w:r w:rsidRPr="00292E85">
        <w:rPr>
          <w:bCs/>
        </w:rPr>
        <w:t xml:space="preserve"> for a</w:t>
      </w:r>
      <w:r w:rsidR="00110958" w:rsidRPr="00292E85">
        <w:rPr>
          <w:bCs/>
        </w:rPr>
        <w:t xml:space="preserve">ge </w:t>
      </w:r>
      <w:r w:rsidR="00110958" w:rsidRPr="00292E85">
        <w:rPr>
          <w:bCs/>
          <w:color w:val="000000"/>
        </w:rPr>
        <w:t>≥ 5 years</w:t>
      </w:r>
      <w:r w:rsidR="0003341B">
        <w:rPr>
          <w:bCs/>
          <w:color w:val="000000"/>
        </w:rPr>
        <w:t>;</w:t>
      </w:r>
      <w:r w:rsidRPr="00292E85">
        <w:rPr>
          <w:bCs/>
          <w:color w:val="000000"/>
        </w:rPr>
        <w:t xml:space="preserve"> </w:t>
      </w:r>
      <w:r w:rsidR="00110958" w:rsidRPr="00292E85">
        <w:rPr>
          <w:bCs/>
          <w:color w:val="000000"/>
        </w:rPr>
        <w:t>or</w:t>
      </w:r>
      <w:r>
        <w:rPr>
          <w:bCs/>
          <w:color w:val="000000"/>
        </w:rPr>
        <w:t xml:space="preserve"> </w:t>
      </w:r>
      <w:r>
        <w:rPr>
          <w:bCs/>
          <w:i/>
          <w:color w:val="000000"/>
        </w:rPr>
        <w:t xml:space="preserve">head </w:t>
      </w:r>
      <w:r w:rsidRPr="00292E85">
        <w:rPr>
          <w:bCs/>
          <w:i/>
          <w:color w:val="000000"/>
        </w:rPr>
        <w:t>band device</w:t>
      </w:r>
      <w:r w:rsidRPr="00292E85">
        <w:rPr>
          <w:bCs/>
          <w:color w:val="000000"/>
        </w:rPr>
        <w:t xml:space="preserve"> for </w:t>
      </w:r>
      <w:r w:rsidR="00110958" w:rsidRPr="00292E85">
        <w:rPr>
          <w:bCs/>
          <w:color w:val="000000"/>
        </w:rPr>
        <w:t>age &lt; 5 years</w:t>
      </w:r>
      <w:r w:rsidRPr="00292E85">
        <w:rPr>
          <w:bCs/>
          <w:color w:val="000000"/>
        </w:rPr>
        <w:t xml:space="preserve"> or</w:t>
      </w:r>
      <w:r w:rsidR="00110958" w:rsidRPr="00292E85">
        <w:rPr>
          <w:bCs/>
          <w:color w:val="000000"/>
        </w:rPr>
        <w:t xml:space="preserve"> </w:t>
      </w:r>
      <w:r w:rsidR="0003341B">
        <w:rPr>
          <w:bCs/>
          <w:color w:val="000000"/>
        </w:rPr>
        <w:t>for</w:t>
      </w:r>
      <w:r w:rsidRPr="00292E85">
        <w:rPr>
          <w:bCs/>
          <w:color w:val="000000"/>
        </w:rPr>
        <w:t xml:space="preserve"> members medically unable to have an implant</w:t>
      </w:r>
      <w:r w:rsidR="00110958" w:rsidRPr="00292E85">
        <w:rPr>
          <w:bCs/>
          <w:color w:val="000000"/>
        </w:rPr>
        <w:t>;</w:t>
      </w:r>
      <w:r w:rsidRPr="00292E85">
        <w:rPr>
          <w:bCs/>
          <w:color w:val="000000"/>
        </w:rPr>
        <w:t xml:space="preserve"> </w:t>
      </w:r>
    </w:p>
    <w:p w14:paraId="1BD8A2DF" w14:textId="058B77E9" w:rsidR="00292E85" w:rsidRPr="00292E85" w:rsidRDefault="00DF28E0" w:rsidP="00292E85">
      <w:pPr>
        <w:numPr>
          <w:ilvl w:val="0"/>
          <w:numId w:val="25"/>
        </w:numPr>
        <w:rPr>
          <w:bCs/>
        </w:rPr>
      </w:pPr>
      <w:r>
        <w:rPr>
          <w:bCs/>
        </w:rPr>
        <w:t>Single sided</w:t>
      </w:r>
      <w:r w:rsidRPr="00292E85">
        <w:rPr>
          <w:bCs/>
        </w:rPr>
        <w:t xml:space="preserve"> </w:t>
      </w:r>
      <w:r w:rsidR="00292E85" w:rsidRPr="00292E85">
        <w:rPr>
          <w:bCs/>
        </w:rPr>
        <w:t>or bilateral conductive</w:t>
      </w:r>
      <w:r w:rsidR="00C859EC">
        <w:rPr>
          <w:bCs/>
        </w:rPr>
        <w:t xml:space="preserve"> hearing loss</w:t>
      </w:r>
      <w:r w:rsidR="0003341B">
        <w:rPr>
          <w:bCs/>
        </w:rPr>
        <w:t>;</w:t>
      </w:r>
      <w:r w:rsidR="00292E85" w:rsidRPr="00292E85">
        <w:rPr>
          <w:bCs/>
        </w:rPr>
        <w:t xml:space="preserve"> or</w:t>
      </w:r>
      <w:r w:rsidR="0003341B">
        <w:rPr>
          <w:bCs/>
        </w:rPr>
        <w:t xml:space="preserve"> </w:t>
      </w:r>
      <w:r>
        <w:rPr>
          <w:bCs/>
        </w:rPr>
        <w:t xml:space="preserve">single sided </w:t>
      </w:r>
      <w:r w:rsidR="0003341B">
        <w:rPr>
          <w:bCs/>
        </w:rPr>
        <w:t>or bilateral</w:t>
      </w:r>
      <w:r w:rsidR="00292E85" w:rsidRPr="00292E85">
        <w:rPr>
          <w:bCs/>
        </w:rPr>
        <w:t xml:space="preserve"> mixed conductive and sensorineural hearing loss</w:t>
      </w:r>
      <w:r w:rsidR="0003341B">
        <w:rPr>
          <w:bCs/>
        </w:rPr>
        <w:t>;</w:t>
      </w:r>
      <w:r w:rsidR="00292E85" w:rsidRPr="00292E85">
        <w:rPr>
          <w:bCs/>
        </w:rPr>
        <w:t xml:space="preserve"> </w:t>
      </w:r>
      <w:r w:rsidR="00292E85">
        <w:rPr>
          <w:bCs/>
        </w:rPr>
        <w:t>or</w:t>
      </w:r>
      <w:r w:rsidR="00292E85">
        <w:rPr>
          <w:bCs/>
          <w:color w:val="000000"/>
        </w:rPr>
        <w:t xml:space="preserve"> </w:t>
      </w:r>
      <w:r>
        <w:rPr>
          <w:bCs/>
          <w:color w:val="000000"/>
        </w:rPr>
        <w:t xml:space="preserve">single sided </w:t>
      </w:r>
      <w:r w:rsidR="00292E85">
        <w:rPr>
          <w:bCs/>
          <w:color w:val="000000"/>
        </w:rPr>
        <w:t xml:space="preserve">sensorineural hearing loss; </w:t>
      </w:r>
    </w:p>
    <w:p w14:paraId="1BD8A2E0" w14:textId="77777777" w:rsidR="00BB35EA" w:rsidRPr="00653231" w:rsidRDefault="001F06B5" w:rsidP="00653231">
      <w:pPr>
        <w:numPr>
          <w:ilvl w:val="0"/>
          <w:numId w:val="25"/>
        </w:numPr>
        <w:rPr>
          <w:bCs/>
          <w:color w:val="000000"/>
        </w:rPr>
      </w:pPr>
      <w:r>
        <w:rPr>
          <w:bCs/>
          <w:color w:val="000000"/>
        </w:rPr>
        <w:t>P</w:t>
      </w:r>
      <w:r w:rsidR="00292E85" w:rsidRPr="00DC2631">
        <w:rPr>
          <w:bCs/>
          <w:color w:val="000000"/>
        </w:rPr>
        <w:t>ure tone average bone conduction threshold (measured at 0.5, 1, 2, and 3kHz) ≤ 70 dBHL</w:t>
      </w:r>
      <w:r w:rsidR="0003341B">
        <w:rPr>
          <w:bCs/>
          <w:color w:val="000000"/>
        </w:rPr>
        <w:t xml:space="preserve"> (decibels hearing level)</w:t>
      </w:r>
      <w:r w:rsidR="00292E85" w:rsidRPr="00DC2631">
        <w:rPr>
          <w:bCs/>
          <w:color w:val="000000"/>
        </w:rPr>
        <w:t xml:space="preserve"> and</w:t>
      </w:r>
      <w:r w:rsidR="00292E85">
        <w:rPr>
          <w:bCs/>
          <w:color w:val="000000"/>
        </w:rPr>
        <w:t xml:space="preserve"> a</w:t>
      </w:r>
      <w:r w:rsidR="00292E85" w:rsidRPr="00DC2631">
        <w:rPr>
          <w:bCs/>
          <w:color w:val="000000"/>
        </w:rPr>
        <w:t xml:space="preserve">n unaided speech discrimination score </w:t>
      </w:r>
      <w:r w:rsidR="00E123A0">
        <w:rPr>
          <w:bCs/>
          <w:color w:val="000000"/>
        </w:rPr>
        <w:t>not worse than</w:t>
      </w:r>
      <w:r w:rsidR="00292E85" w:rsidRPr="00DC2631">
        <w:rPr>
          <w:bCs/>
          <w:color w:val="000000"/>
        </w:rPr>
        <w:t xml:space="preserve"> 60%</w:t>
      </w:r>
      <w:r w:rsidR="00292E85">
        <w:rPr>
          <w:bCs/>
          <w:color w:val="000000"/>
        </w:rPr>
        <w:t>;</w:t>
      </w:r>
    </w:p>
    <w:p w14:paraId="1BD8A2E1" w14:textId="77777777" w:rsidR="001F06B5" w:rsidRPr="001F06B5" w:rsidRDefault="001F06B5" w:rsidP="001F06B5">
      <w:pPr>
        <w:numPr>
          <w:ilvl w:val="0"/>
          <w:numId w:val="25"/>
        </w:numPr>
        <w:rPr>
          <w:bCs/>
          <w:color w:val="000000"/>
        </w:rPr>
      </w:pPr>
      <w:r>
        <w:rPr>
          <w:bCs/>
          <w:color w:val="000000"/>
        </w:rPr>
        <w:t>For bilateral BAHA, there is a mean maximum difference &lt;10 dB between the right bone conduction threshold and left bone conduction threshold;</w:t>
      </w:r>
    </w:p>
    <w:p w14:paraId="1BD8A2E2" w14:textId="09F18954" w:rsidR="001F06B5" w:rsidRPr="001F06B5" w:rsidRDefault="00D069A1" w:rsidP="001F06B5">
      <w:pPr>
        <w:numPr>
          <w:ilvl w:val="0"/>
          <w:numId w:val="25"/>
        </w:numPr>
        <w:rPr>
          <w:bCs/>
        </w:rPr>
      </w:pPr>
      <w:r w:rsidRPr="00725E74">
        <w:rPr>
          <w:bCs/>
          <w:color w:val="000000"/>
        </w:rPr>
        <w:t>For single sided deafness, the hearing ear should have a bone conduction threshold of 20dB</w:t>
      </w:r>
      <w:r w:rsidR="00E00794">
        <w:rPr>
          <w:bCs/>
          <w:color w:val="000000"/>
        </w:rPr>
        <w:t>;</w:t>
      </w:r>
    </w:p>
    <w:p w14:paraId="1BD8A2E3" w14:textId="77777777" w:rsidR="00292E85" w:rsidRPr="00292E85" w:rsidRDefault="00292E85" w:rsidP="00292E85">
      <w:pPr>
        <w:numPr>
          <w:ilvl w:val="0"/>
          <w:numId w:val="25"/>
        </w:numPr>
        <w:rPr>
          <w:bCs/>
        </w:rPr>
      </w:pPr>
      <w:r>
        <w:rPr>
          <w:bCs/>
          <w:color w:val="000000"/>
        </w:rPr>
        <w:t xml:space="preserve">One of the following indications: </w:t>
      </w:r>
    </w:p>
    <w:p w14:paraId="1BD8A2E4" w14:textId="77777777" w:rsidR="00110958" w:rsidRDefault="00110958" w:rsidP="00292E85">
      <w:pPr>
        <w:numPr>
          <w:ilvl w:val="1"/>
          <w:numId w:val="23"/>
        </w:numPr>
        <w:ind w:left="1080"/>
        <w:rPr>
          <w:bCs/>
        </w:rPr>
      </w:pPr>
      <w:r w:rsidRPr="004166C1">
        <w:rPr>
          <w:bCs/>
        </w:rPr>
        <w:t>Conge</w:t>
      </w:r>
      <w:r>
        <w:rPr>
          <w:bCs/>
        </w:rPr>
        <w:t xml:space="preserve">nital or surgically induced malformations of the ear canal such that it does not exist or cannot accommodate a standard </w:t>
      </w:r>
      <w:r w:rsidR="0003341B">
        <w:rPr>
          <w:bCs/>
        </w:rPr>
        <w:t xml:space="preserve">air-conduction hearing aid, </w:t>
      </w:r>
    </w:p>
    <w:p w14:paraId="1BD8A2E5" w14:textId="77777777" w:rsidR="00110958" w:rsidRDefault="00110958" w:rsidP="00292E85">
      <w:pPr>
        <w:numPr>
          <w:ilvl w:val="1"/>
          <w:numId w:val="23"/>
        </w:numPr>
        <w:ind w:left="1080"/>
        <w:rPr>
          <w:bCs/>
        </w:rPr>
      </w:pPr>
      <w:r>
        <w:rPr>
          <w:bCs/>
        </w:rPr>
        <w:t>Chronic infection</w:t>
      </w:r>
      <w:r w:rsidR="00085638">
        <w:rPr>
          <w:bCs/>
        </w:rPr>
        <w:t xml:space="preserve"> or dermatitis</w:t>
      </w:r>
      <w:r>
        <w:rPr>
          <w:bCs/>
        </w:rPr>
        <w:t xml:space="preserve"> of the middle or outer ear that is exacerbated by a standar</w:t>
      </w:r>
      <w:r w:rsidR="0003341B">
        <w:rPr>
          <w:bCs/>
        </w:rPr>
        <w:t xml:space="preserve">d air-conduction hearing aid, </w:t>
      </w:r>
    </w:p>
    <w:p w14:paraId="1BD8A2E6" w14:textId="77777777" w:rsidR="00C96847" w:rsidRPr="00110958" w:rsidRDefault="00110958" w:rsidP="00292E85">
      <w:pPr>
        <w:numPr>
          <w:ilvl w:val="1"/>
          <w:numId w:val="23"/>
        </w:numPr>
        <w:ind w:left="1080"/>
        <w:rPr>
          <w:bCs/>
        </w:rPr>
      </w:pPr>
      <w:r w:rsidRPr="00110958">
        <w:rPr>
          <w:bCs/>
        </w:rPr>
        <w:t>Allergic reactions to standard</w:t>
      </w:r>
      <w:r w:rsidR="0003341B">
        <w:rPr>
          <w:bCs/>
        </w:rPr>
        <w:t xml:space="preserve"> air-conduction hearing aids, </w:t>
      </w:r>
    </w:p>
    <w:p w14:paraId="1BD8A2E7" w14:textId="77777777" w:rsidR="00110958" w:rsidRDefault="00110958" w:rsidP="00292E85">
      <w:pPr>
        <w:numPr>
          <w:ilvl w:val="1"/>
          <w:numId w:val="23"/>
        </w:numPr>
        <w:ind w:left="1080"/>
        <w:rPr>
          <w:bCs/>
        </w:rPr>
      </w:pPr>
      <w:r>
        <w:rPr>
          <w:bCs/>
        </w:rPr>
        <w:t>Single-sided deafness occurred after removal of an acoustic neuroma, from trauma, or from a viral or vascular insult</w:t>
      </w:r>
      <w:r w:rsidR="00085638">
        <w:rPr>
          <w:bCs/>
        </w:rPr>
        <w:t>,</w:t>
      </w:r>
      <w:r>
        <w:rPr>
          <w:bCs/>
        </w:rPr>
        <w:t xml:space="preserve"> </w:t>
      </w:r>
    </w:p>
    <w:p w14:paraId="1BD8A2E8" w14:textId="77777777" w:rsidR="001A2F7B" w:rsidRDefault="00085638" w:rsidP="00B44B2C">
      <w:pPr>
        <w:numPr>
          <w:ilvl w:val="1"/>
          <w:numId w:val="23"/>
        </w:numPr>
        <w:ind w:left="1080"/>
        <w:rPr>
          <w:bCs/>
        </w:rPr>
      </w:pPr>
      <w:r>
        <w:rPr>
          <w:bCs/>
        </w:rPr>
        <w:t>Tumors of the external canal and/or tympanic cavity</w:t>
      </w:r>
      <w:r w:rsidR="001A2F7B">
        <w:rPr>
          <w:bCs/>
        </w:rPr>
        <w:t>,</w:t>
      </w:r>
    </w:p>
    <w:p w14:paraId="1BD8A2E9" w14:textId="77777777" w:rsidR="00085638" w:rsidRDefault="001A2F7B" w:rsidP="00B44B2C">
      <w:pPr>
        <w:numPr>
          <w:ilvl w:val="1"/>
          <w:numId w:val="23"/>
        </w:numPr>
        <w:ind w:left="1080"/>
        <w:rPr>
          <w:bCs/>
        </w:rPr>
      </w:pPr>
      <w:r w:rsidRPr="00BF74BA">
        <w:rPr>
          <w:bCs/>
        </w:rPr>
        <w:t xml:space="preserve">Air-conduction hearing aid ineffective </w:t>
      </w:r>
      <w:r w:rsidR="00AA369F">
        <w:rPr>
          <w:bCs/>
        </w:rPr>
        <w:t>due</w:t>
      </w:r>
      <w:r w:rsidRPr="00BF74BA">
        <w:rPr>
          <w:bCs/>
        </w:rPr>
        <w:t xml:space="preserve"> to large conductive hearing loss (inadequate gain, uncomfortable occlusion, and feedback effects)</w:t>
      </w:r>
      <w:r>
        <w:rPr>
          <w:bCs/>
        </w:rPr>
        <w:t>.</w:t>
      </w:r>
    </w:p>
    <w:p w14:paraId="1BD8A2EA" w14:textId="77777777" w:rsidR="00A04FE7" w:rsidRDefault="00A04FE7" w:rsidP="00A04FE7">
      <w:pPr>
        <w:rPr>
          <w:b/>
          <w:bCs/>
        </w:rPr>
      </w:pPr>
    </w:p>
    <w:p w14:paraId="1BD8A2EB" w14:textId="77777777" w:rsidR="00A04FE7" w:rsidRPr="000C40BB" w:rsidRDefault="00A04FE7" w:rsidP="00A04FE7">
      <w:pPr>
        <w:pStyle w:val="ListParagraph"/>
        <w:numPr>
          <w:ilvl w:val="0"/>
          <w:numId w:val="24"/>
        </w:numPr>
        <w:ind w:left="360"/>
      </w:pPr>
      <w:r>
        <w:rPr>
          <w:bCs/>
        </w:rPr>
        <w:t xml:space="preserve">BAHAs for any other indication are considered </w:t>
      </w:r>
      <w:r w:rsidRPr="00307BF7">
        <w:rPr>
          <w:b/>
          <w:bCs/>
        </w:rPr>
        <w:t>not medically necessary</w:t>
      </w:r>
      <w:r>
        <w:rPr>
          <w:bCs/>
        </w:rPr>
        <w:t xml:space="preserve"> because effectiveness has not been established.</w:t>
      </w:r>
    </w:p>
    <w:p w14:paraId="1BD8A2EC" w14:textId="77777777" w:rsidR="00EE0091" w:rsidRDefault="00EE0091" w:rsidP="00B44B2C">
      <w:pPr>
        <w:ind w:left="720"/>
        <w:rPr>
          <w:bCs/>
        </w:rPr>
      </w:pPr>
    </w:p>
    <w:p w14:paraId="1BD8A2ED" w14:textId="77777777" w:rsidR="00EE0091" w:rsidRPr="00025D9F" w:rsidRDefault="00EE0091" w:rsidP="00B44B2C">
      <w:pPr>
        <w:pStyle w:val="ListParagraph"/>
        <w:numPr>
          <w:ilvl w:val="0"/>
          <w:numId w:val="24"/>
        </w:numPr>
        <w:autoSpaceDE w:val="0"/>
        <w:autoSpaceDN w:val="0"/>
        <w:adjustRightInd w:val="0"/>
        <w:ind w:left="360"/>
      </w:pPr>
      <w:r w:rsidRPr="00EE0091">
        <w:rPr>
          <w:bCs/>
        </w:rPr>
        <w:t>It is the policy of health plans affiliated with Centene Corporation</w:t>
      </w:r>
      <w:r w:rsidRPr="00EE0091">
        <w:rPr>
          <w:bCs/>
          <w:vertAlign w:val="superscript"/>
        </w:rPr>
        <w:t>®</w:t>
      </w:r>
      <w:r w:rsidRPr="00EE0091">
        <w:rPr>
          <w:bCs/>
        </w:rPr>
        <w:t xml:space="preserve"> that</w:t>
      </w:r>
      <w:r>
        <w:t xml:space="preserve"> </w:t>
      </w:r>
      <w:r w:rsidRPr="00EE0091">
        <w:rPr>
          <w:b/>
          <w:i/>
        </w:rPr>
        <w:t>replacement</w:t>
      </w:r>
      <w:r>
        <w:t xml:space="preserve"> of a BAHA(s) and/or its external components (external s</w:t>
      </w:r>
      <w:r w:rsidR="00A95398">
        <w:t xml:space="preserve">ound </w:t>
      </w:r>
      <w:r>
        <w:t>processor</w:t>
      </w:r>
      <w:r w:rsidR="00A95398">
        <w:t>)</w:t>
      </w:r>
      <w:r>
        <w:t xml:space="preserve"> is considered </w:t>
      </w:r>
      <w:r w:rsidRPr="00EE0091">
        <w:rPr>
          <w:b/>
        </w:rPr>
        <w:t>medically necessary</w:t>
      </w:r>
      <w:r>
        <w:t xml:space="preserve"> when </w:t>
      </w:r>
      <w:r w:rsidRPr="00025D9F">
        <w:t>any one of the following is present:</w:t>
      </w:r>
    </w:p>
    <w:p w14:paraId="1BD8A2EE" w14:textId="77777777" w:rsidR="00EE0091" w:rsidRPr="00025D9F" w:rsidRDefault="00EE0091" w:rsidP="00EE0091">
      <w:pPr>
        <w:pStyle w:val="NormalWeb"/>
        <w:widowControl w:val="0"/>
        <w:numPr>
          <w:ilvl w:val="0"/>
          <w:numId w:val="27"/>
        </w:numPr>
        <w:spacing w:before="0" w:beforeAutospacing="0" w:after="0" w:afterAutospacing="0"/>
        <w:rPr>
          <w:rFonts w:ascii="Times New Roman" w:hAnsi="Times New Roman" w:cs="Times New Roman"/>
          <w:bCs/>
        </w:rPr>
      </w:pPr>
      <w:r w:rsidRPr="00025D9F">
        <w:rPr>
          <w:rFonts w:ascii="Times New Roman" w:hAnsi="Times New Roman" w:cs="Times New Roman"/>
          <w:bCs/>
        </w:rPr>
        <w:t>The existing device</w:t>
      </w:r>
      <w:r>
        <w:rPr>
          <w:rFonts w:ascii="Times New Roman" w:hAnsi="Times New Roman" w:cs="Times New Roman"/>
          <w:bCs/>
        </w:rPr>
        <w:t>(s)</w:t>
      </w:r>
      <w:r w:rsidRPr="00025D9F">
        <w:rPr>
          <w:rFonts w:ascii="Times New Roman" w:hAnsi="Times New Roman" w:cs="Times New Roman"/>
          <w:bCs/>
        </w:rPr>
        <w:t xml:space="preserve"> is no longer functional and cannot be repaired; or </w:t>
      </w:r>
    </w:p>
    <w:p w14:paraId="1BD8A2EF" w14:textId="77777777" w:rsidR="00EE0091" w:rsidRDefault="00EE0091" w:rsidP="00EE0091">
      <w:pPr>
        <w:pStyle w:val="NormalWeb"/>
        <w:widowControl w:val="0"/>
        <w:numPr>
          <w:ilvl w:val="0"/>
          <w:numId w:val="27"/>
        </w:numPr>
        <w:spacing w:before="0" w:beforeAutospacing="0" w:after="0" w:afterAutospacing="0"/>
        <w:rPr>
          <w:rFonts w:ascii="Times New Roman" w:hAnsi="Times New Roman" w:cs="Times New Roman"/>
        </w:rPr>
      </w:pPr>
      <w:r w:rsidRPr="00025D9F">
        <w:rPr>
          <w:rFonts w:ascii="Times New Roman" w:hAnsi="Times New Roman" w:cs="Times New Roman"/>
          <w:bCs/>
        </w:rPr>
        <w:t>A change in the member's condition makes the existing unit</w:t>
      </w:r>
      <w:r>
        <w:rPr>
          <w:rFonts w:ascii="Times New Roman" w:hAnsi="Times New Roman" w:cs="Times New Roman"/>
          <w:bCs/>
        </w:rPr>
        <w:t>(s)</w:t>
      </w:r>
      <w:r w:rsidRPr="00025D9F">
        <w:rPr>
          <w:rFonts w:ascii="Times New Roman" w:hAnsi="Times New Roman" w:cs="Times New Roman"/>
          <w:bCs/>
        </w:rPr>
        <w:t xml:space="preserve"> inadequate for the </w:t>
      </w:r>
      <w:r w:rsidRPr="00025D9F">
        <w:rPr>
          <w:rFonts w:ascii="Times New Roman" w:hAnsi="Times New Roman" w:cs="Times New Roman"/>
          <w:bCs/>
        </w:rPr>
        <w:lastRenderedPageBreak/>
        <w:t>hearing-</w:t>
      </w:r>
      <w:r w:rsidRPr="00025D9F">
        <w:rPr>
          <w:rFonts w:ascii="Times New Roman" w:hAnsi="Times New Roman" w:cs="Times New Roman"/>
        </w:rPr>
        <w:t>related activities of daily living and improvement is expected with a replacement unit</w:t>
      </w:r>
      <w:r>
        <w:rPr>
          <w:rFonts w:ascii="Times New Roman" w:hAnsi="Times New Roman" w:cs="Times New Roman"/>
        </w:rPr>
        <w:t>(s)</w:t>
      </w:r>
      <w:r w:rsidR="00B35102">
        <w:rPr>
          <w:rFonts w:ascii="Times New Roman" w:hAnsi="Times New Roman" w:cs="Times New Roman"/>
        </w:rPr>
        <w:t>;</w:t>
      </w:r>
    </w:p>
    <w:p w14:paraId="1BD8A2F0" w14:textId="77777777" w:rsidR="00D13A8A" w:rsidRPr="000167E5" w:rsidRDefault="0089290D" w:rsidP="00600839">
      <w:pPr>
        <w:pStyle w:val="NormalWeb"/>
        <w:widowControl w:val="0"/>
        <w:numPr>
          <w:ilvl w:val="0"/>
          <w:numId w:val="27"/>
        </w:numPr>
        <w:spacing w:before="0" w:beforeAutospacing="0" w:after="0" w:afterAutospacing="0"/>
        <w:rPr>
          <w:rFonts w:ascii="Times New Roman" w:hAnsi="Times New Roman" w:cs="Times New Roman"/>
        </w:rPr>
      </w:pPr>
      <w:r w:rsidRPr="000167E5">
        <w:rPr>
          <w:rFonts w:ascii="Times New Roman" w:hAnsi="Times New Roman" w:cs="Times New Roman"/>
        </w:rPr>
        <w:t xml:space="preserve">A sound processor </w:t>
      </w:r>
      <w:r w:rsidR="00600839">
        <w:rPr>
          <w:rFonts w:ascii="Times New Roman" w:hAnsi="Times New Roman" w:cs="Times New Roman"/>
        </w:rPr>
        <w:t>replacement</w:t>
      </w:r>
      <w:r w:rsidRPr="000167E5">
        <w:rPr>
          <w:rFonts w:ascii="Times New Roman" w:hAnsi="Times New Roman" w:cs="Times New Roman"/>
        </w:rPr>
        <w:t xml:space="preserve"> </w:t>
      </w:r>
      <w:r w:rsidR="00600839">
        <w:rPr>
          <w:rFonts w:ascii="Times New Roman" w:hAnsi="Times New Roman" w:cs="Times New Roman"/>
        </w:rPr>
        <w:t>if</w:t>
      </w:r>
      <w:r w:rsidRPr="000167E5">
        <w:rPr>
          <w:rFonts w:ascii="Times New Roman" w:hAnsi="Times New Roman" w:cs="Times New Roman"/>
        </w:rPr>
        <w:t xml:space="preserve"> the current </w:t>
      </w:r>
      <w:r w:rsidR="00820A29">
        <w:rPr>
          <w:rFonts w:ascii="Times New Roman" w:hAnsi="Times New Roman" w:cs="Times New Roman"/>
        </w:rPr>
        <w:t>proce</w:t>
      </w:r>
      <w:r w:rsidR="00A7199F">
        <w:rPr>
          <w:rFonts w:ascii="Times New Roman" w:hAnsi="Times New Roman" w:cs="Times New Roman"/>
        </w:rPr>
        <w:t>s</w:t>
      </w:r>
      <w:r w:rsidR="00820A29">
        <w:rPr>
          <w:rFonts w:ascii="Times New Roman" w:hAnsi="Times New Roman" w:cs="Times New Roman"/>
        </w:rPr>
        <w:t>sor</w:t>
      </w:r>
      <w:r w:rsidR="00D13A8A" w:rsidRPr="000167E5">
        <w:rPr>
          <w:rFonts w:ascii="Times New Roman" w:hAnsi="Times New Roman" w:cs="Times New Roman"/>
        </w:rPr>
        <w:t xml:space="preserve"> is at least </w:t>
      </w:r>
      <w:r>
        <w:rPr>
          <w:rFonts w:ascii="Times New Roman" w:hAnsi="Times New Roman" w:cs="Times New Roman"/>
        </w:rPr>
        <w:t>five</w:t>
      </w:r>
      <w:r w:rsidR="00D13A8A" w:rsidRPr="000167E5">
        <w:rPr>
          <w:rFonts w:ascii="Times New Roman" w:hAnsi="Times New Roman" w:cs="Times New Roman"/>
        </w:rPr>
        <w:t xml:space="preserve"> years old.</w:t>
      </w:r>
    </w:p>
    <w:p w14:paraId="1BD8A2F1" w14:textId="77777777" w:rsidR="00EE0091" w:rsidRDefault="00EE0091" w:rsidP="00EE0091">
      <w:pPr>
        <w:pStyle w:val="NormalWeb"/>
        <w:widowControl w:val="0"/>
        <w:spacing w:before="0" w:beforeAutospacing="0" w:after="0" w:afterAutospacing="0"/>
        <w:rPr>
          <w:rFonts w:ascii="Times New Roman" w:hAnsi="Times New Roman" w:cs="Times New Roman"/>
        </w:rPr>
      </w:pPr>
    </w:p>
    <w:p w14:paraId="1BD8A2F2" w14:textId="77777777" w:rsidR="00EE0091" w:rsidRDefault="00EE0091" w:rsidP="00B44B2C">
      <w:pPr>
        <w:numPr>
          <w:ilvl w:val="0"/>
          <w:numId w:val="24"/>
        </w:numPr>
        <w:autoSpaceDE w:val="0"/>
        <w:autoSpaceDN w:val="0"/>
        <w:adjustRightInd w:val="0"/>
        <w:ind w:left="360"/>
        <w:rPr>
          <w:color w:val="333333"/>
        </w:rPr>
      </w:pPr>
      <w:r>
        <w:rPr>
          <w:bCs/>
        </w:rPr>
        <w:t xml:space="preserve">It is the policy of Health Plans affiliated with Centene Corporation </w:t>
      </w:r>
      <w:r w:rsidR="00D03626">
        <w:rPr>
          <w:bCs/>
        </w:rPr>
        <w:t xml:space="preserve">that </w:t>
      </w:r>
      <w:r w:rsidRPr="00025D9F">
        <w:rPr>
          <w:b/>
          <w:i/>
        </w:rPr>
        <w:t>replacement or upgrade</w:t>
      </w:r>
      <w:r>
        <w:t xml:space="preserve"> of </w:t>
      </w:r>
      <w:r>
        <w:rPr>
          <w:bCs/>
        </w:rPr>
        <w:t>an existing, properly functioning BAHA</w:t>
      </w:r>
      <w:r>
        <w:t xml:space="preserve"> </w:t>
      </w:r>
      <w:r w:rsidR="00A95398">
        <w:t xml:space="preserve">and/or its external components (external sound processor) </w:t>
      </w:r>
      <w:r>
        <w:t>is considered</w:t>
      </w:r>
      <w:r>
        <w:rPr>
          <w:b/>
        </w:rPr>
        <w:t xml:space="preserve"> not medically necessary</w:t>
      </w:r>
      <w:r>
        <w:t xml:space="preserve"> when requested only for convenience</w:t>
      </w:r>
      <w:r w:rsidR="0089290D">
        <w:t xml:space="preserve"> or </w:t>
      </w:r>
      <w:r>
        <w:t>to simpl</w:t>
      </w:r>
      <w:r w:rsidR="00D13F6F">
        <w:t>y upgrade to a newer technology</w:t>
      </w:r>
      <w:r w:rsidR="00217B5E">
        <w:t xml:space="preserve"> before the timeframe</w:t>
      </w:r>
      <w:r w:rsidR="00C82DD6">
        <w:t xml:space="preserve"> noted in section III.</w:t>
      </w:r>
    </w:p>
    <w:p w14:paraId="1BD8A2F3" w14:textId="77777777" w:rsidR="00FB139B" w:rsidRDefault="00FB139B" w:rsidP="003840CC">
      <w:pPr>
        <w:rPr>
          <w:bCs/>
          <w:color w:val="000000"/>
        </w:rPr>
      </w:pPr>
    </w:p>
    <w:p w14:paraId="1BD8A2F4" w14:textId="77777777" w:rsidR="00FB0592" w:rsidRDefault="00FB0592" w:rsidP="00FB0592">
      <w:pPr>
        <w:pStyle w:val="Heading2"/>
        <w:rPr>
          <w:u w:val="none"/>
        </w:rPr>
      </w:pPr>
      <w:r w:rsidRPr="00B777AF">
        <w:rPr>
          <w:u w:val="none"/>
        </w:rPr>
        <w:t>Background</w:t>
      </w:r>
    </w:p>
    <w:p w14:paraId="1BD8A2F5" w14:textId="77777777" w:rsidR="00292E85" w:rsidRDefault="00292E85" w:rsidP="00292E85">
      <w:pPr>
        <w:pStyle w:val="Heading2"/>
        <w:rPr>
          <w:b w:val="0"/>
          <w:u w:val="none"/>
        </w:rPr>
      </w:pPr>
      <w:r>
        <w:rPr>
          <w:b w:val="0"/>
          <w:u w:val="none"/>
        </w:rPr>
        <w:t xml:space="preserve">Hearing loss affects up to </w:t>
      </w:r>
      <w:r w:rsidR="00146008">
        <w:rPr>
          <w:b w:val="0"/>
          <w:u w:val="none"/>
        </w:rPr>
        <w:t xml:space="preserve">20 </w:t>
      </w:r>
      <w:r>
        <w:rPr>
          <w:b w:val="0"/>
          <w:u w:val="none"/>
        </w:rPr>
        <w:t>percent of the population in the United States</w:t>
      </w:r>
      <w:r w:rsidR="00E63096">
        <w:rPr>
          <w:b w:val="0"/>
          <w:u w:val="none"/>
        </w:rPr>
        <w:t xml:space="preserve"> (Lin, Niparko, and Ferrucci, 2011).</w:t>
      </w:r>
      <w:r>
        <w:rPr>
          <w:b w:val="0"/>
          <w:u w:val="none"/>
        </w:rPr>
        <w:t xml:space="preserve">  </w:t>
      </w:r>
      <w:r w:rsidR="00E63096">
        <w:rPr>
          <w:b w:val="0"/>
          <w:u w:val="none"/>
        </w:rPr>
        <w:t>According to Blanchfield, et al., as many as 738,000 people in the U.S. experience severe to profound hearing loss, with 8% of these under age 18 (2001)</w:t>
      </w:r>
      <w:r>
        <w:rPr>
          <w:b w:val="0"/>
          <w:u w:val="none"/>
        </w:rPr>
        <w:t xml:space="preserve">.  </w:t>
      </w:r>
      <w:r w:rsidR="00146008">
        <w:rPr>
          <w:b w:val="0"/>
          <w:u w:val="none"/>
        </w:rPr>
        <w:t xml:space="preserve">Although </w:t>
      </w:r>
      <w:r>
        <w:rPr>
          <w:b w:val="0"/>
          <w:u w:val="none"/>
        </w:rPr>
        <w:t xml:space="preserve">the reliability and effectiveness of hearing aids have improved over time, there are still </w:t>
      </w:r>
      <w:r w:rsidR="00724F83">
        <w:rPr>
          <w:b w:val="0"/>
          <w:u w:val="none"/>
        </w:rPr>
        <w:t>limitations to conventional air-</w:t>
      </w:r>
      <w:r>
        <w:rPr>
          <w:b w:val="0"/>
          <w:u w:val="none"/>
        </w:rPr>
        <w:t xml:space="preserve">conduction hearing aids.  </w:t>
      </w:r>
    </w:p>
    <w:p w14:paraId="1BD8A2F6" w14:textId="77777777" w:rsidR="00292E85" w:rsidRDefault="00292E85" w:rsidP="00292E85"/>
    <w:p w14:paraId="1BD8A2F7" w14:textId="77777777" w:rsidR="00292E85" w:rsidRDefault="00292E85" w:rsidP="00292E85">
      <w:r>
        <w:t>Physical and medical complications such as chronic ear infections and canal deformities can make it difficult to impossible for some to wear hearing aids.  Poorly fitting ear molds can lead to bothersome feedback and inadequate functional gain.  Implantable hearing devices can improve reliability and functi</w:t>
      </w:r>
      <w:r w:rsidR="00724F83">
        <w:t>onal gain over the standard air-</w:t>
      </w:r>
      <w:r>
        <w:t xml:space="preserve">conduction hearing aids when some of these issues exist.  </w:t>
      </w:r>
    </w:p>
    <w:p w14:paraId="1BD8A2F8" w14:textId="77777777" w:rsidR="00292E85" w:rsidRDefault="00292E85" w:rsidP="00292E85"/>
    <w:p w14:paraId="1BD8A2F9" w14:textId="6427E37E" w:rsidR="00292E85" w:rsidRDefault="00292E85" w:rsidP="00292E85">
      <w:r>
        <w:t xml:space="preserve">Bone-anchored hearing aids are indicated for people with conductive hearing loss, mixed hearing loss, or </w:t>
      </w:r>
      <w:r w:rsidR="00DF28E0">
        <w:t xml:space="preserve">single sided </w:t>
      </w:r>
      <w:r>
        <w:t xml:space="preserve">profound sensorineural hearing loss to achieve improved auditory acuity by transmitting the sound directly through the bone into the inner ear.  There are three devices currently available for use and the appropriate device is selected based </w:t>
      </w:r>
      <w:r w:rsidR="00724F83">
        <w:t>up</w:t>
      </w:r>
      <w:r>
        <w:t xml:space="preserve">on the patient’s hearing level.  </w:t>
      </w:r>
    </w:p>
    <w:p w14:paraId="1BD8A2FA" w14:textId="77777777" w:rsidR="00292E85" w:rsidRDefault="00292E85" w:rsidP="00292E85"/>
    <w:p w14:paraId="1BD8A2FB" w14:textId="77777777" w:rsidR="00FE290A" w:rsidRDefault="00292E85" w:rsidP="00292E85">
      <w:pPr>
        <w:rPr>
          <w:b/>
          <w:bCs/>
        </w:rPr>
      </w:pPr>
      <w:r>
        <w:t xml:space="preserve">A BAHA consists of a titanium implant surgically inserted into the skull attached to an abutment of which a small portion </w:t>
      </w:r>
      <w:r w:rsidR="00724F83">
        <w:t>protrudes</w:t>
      </w:r>
      <w:r>
        <w:t xml:space="preserve"> through the skin and forms a snap attachment point for a removable bone conduction hearing aid or processor.  </w:t>
      </w:r>
      <w:r w:rsidRPr="002A5D2F">
        <w:t>Children are typically about six years of age before</w:t>
      </w:r>
      <w:r w:rsidR="00724F83">
        <w:t xml:space="preserve"> an</w:t>
      </w:r>
      <w:r w:rsidRPr="002A5D2F">
        <w:t xml:space="preserve"> </w:t>
      </w:r>
      <w:r>
        <w:t xml:space="preserve">implantable </w:t>
      </w:r>
      <w:r w:rsidRPr="002A5D2F">
        <w:t>BAHA is feasible because 3 to 4 mm of bone is needed to ensure osseointegration</w:t>
      </w:r>
      <w:r>
        <w:t>.  The processor is adjusted to the patient’s level of hearing, much like in a traditional hearing aid fitting.  When complications occur, the majority</w:t>
      </w:r>
      <w:r w:rsidR="00724F83">
        <w:t xml:space="preserve"> of them</w:t>
      </w:r>
      <w:r>
        <w:t xml:space="preserve"> are related to skin issues around the implant.  Proper skin care and hygiene at the surgical and abutment site</w:t>
      </w:r>
      <w:r w:rsidR="00724F83">
        <w:t>s</w:t>
      </w:r>
      <w:r>
        <w:t xml:space="preserve"> are essential to maintain good skin integrity.</w:t>
      </w:r>
    </w:p>
    <w:p w14:paraId="1BD8A2FC" w14:textId="77777777" w:rsidR="009D5928" w:rsidRPr="000465DE" w:rsidRDefault="009D5928">
      <w:pPr>
        <w:rPr>
          <w:b/>
          <w:bCs/>
        </w:rPr>
      </w:pPr>
    </w:p>
    <w:p w14:paraId="1BD8A2FD" w14:textId="77777777" w:rsidR="00170B14" w:rsidRPr="00B777AF" w:rsidRDefault="00170B14" w:rsidP="00170B14">
      <w:pPr>
        <w:rPr>
          <w:b/>
        </w:rPr>
      </w:pPr>
      <w:bookmarkStart w:id="0" w:name="Coding_Implications"/>
      <w:r w:rsidRPr="00B777AF">
        <w:rPr>
          <w:b/>
        </w:rPr>
        <w:t>Coding Implications</w:t>
      </w:r>
    </w:p>
    <w:bookmarkEnd w:id="0"/>
    <w:p w14:paraId="1BD8A2FE" w14:textId="1FE7F09B" w:rsidR="00C9696A" w:rsidRDefault="00C9696A" w:rsidP="00C9696A">
      <w:r w:rsidRPr="00507DC0">
        <w:t xml:space="preserve">This </w:t>
      </w:r>
      <w:r>
        <w:t xml:space="preserve">clinical </w:t>
      </w:r>
      <w:r w:rsidRPr="00507DC0">
        <w:t>policy references Current Procedural Terminology (CPT</w:t>
      </w:r>
      <w:r w:rsidRPr="00DD6ADB">
        <w:rPr>
          <w:vertAlign w:val="superscript"/>
        </w:rPr>
        <w:t>®</w:t>
      </w:r>
      <w:r w:rsidRPr="00507DC0">
        <w:t>).</w:t>
      </w:r>
      <w:r w:rsidR="007072EA">
        <w:t xml:space="preserve"> </w:t>
      </w:r>
      <w:r w:rsidRPr="00507DC0">
        <w:t xml:space="preserve"> CPT</w:t>
      </w:r>
      <w:r w:rsidRPr="00DD6ADB">
        <w:rPr>
          <w:vertAlign w:val="superscript"/>
        </w:rPr>
        <w:t>®</w:t>
      </w:r>
      <w:r w:rsidRPr="00507DC0">
        <w:t xml:space="preserve"> is a registered trademark of the Americ</w:t>
      </w:r>
      <w:r>
        <w:t xml:space="preserve">an Medical Association. </w:t>
      </w:r>
      <w:r w:rsidR="007072EA">
        <w:t xml:space="preserve"> </w:t>
      </w:r>
      <w:r>
        <w:t>All CPT</w:t>
      </w:r>
      <w:r w:rsidRPr="00507DC0">
        <w:t xml:space="preserve"> codes and descriptions are copyrighted </w:t>
      </w:r>
      <w:r w:rsidR="00BC5BEA" w:rsidRPr="00507DC0">
        <w:t>201</w:t>
      </w:r>
      <w:r w:rsidR="00BC5BEA">
        <w:t>9</w:t>
      </w:r>
      <w:r w:rsidRPr="00507DC0">
        <w:t xml:space="preserve">, American Medical Association. </w:t>
      </w:r>
      <w:r w:rsidR="007072EA">
        <w:t xml:space="preserve"> </w:t>
      </w:r>
      <w:r w:rsidRPr="00507DC0">
        <w:t>All rights reserved. CPT</w:t>
      </w:r>
      <w:r>
        <w:t xml:space="preserve"> codes and CPT</w:t>
      </w:r>
      <w:r w:rsidRPr="00507DC0">
        <w:t xml:space="preserve"> descriptions are from </w:t>
      </w:r>
      <w:r>
        <w:t xml:space="preserve">the </w:t>
      </w:r>
      <w:r w:rsidRPr="00507DC0">
        <w:t xml:space="preserve">current manuals and those included herein are not intended to be all-inclusive and are included for informational purposes only. </w:t>
      </w:r>
      <w:r w:rsidRPr="00E7516C">
        <w:t xml:space="preserve"> </w:t>
      </w:r>
      <w:r w:rsidRPr="005E117C">
        <w:t>Codes</w:t>
      </w:r>
      <w:r>
        <w:t xml:space="preserve"> referenced in this c</w:t>
      </w:r>
      <w:r w:rsidRPr="005E117C">
        <w:t xml:space="preserve">linical </w:t>
      </w:r>
      <w:r>
        <w:t>p</w:t>
      </w:r>
      <w:r w:rsidRPr="005E117C">
        <w:t xml:space="preserve">olicy are for informational purposes only.  Inclusion or exclusion of any codes does not </w:t>
      </w:r>
      <w:r w:rsidRPr="005E117C">
        <w:lastRenderedPageBreak/>
        <w:t>guarantee coverage.  Providers should reference the most up-to-date sources of professional coding guidance prior to the submission of claims for reimbursement of covered services.</w:t>
      </w:r>
    </w:p>
    <w:p w14:paraId="1BD8A2FF" w14:textId="77777777" w:rsidR="00AF5490" w:rsidRPr="00A85489" w:rsidRDefault="00AF5490" w:rsidP="00AF5490"/>
    <w:tbl>
      <w:tblPr>
        <w:tblStyle w:val="TableGrid"/>
        <w:tblW w:w="5099" w:type="pct"/>
        <w:tblLook w:val="0020" w:firstRow="1" w:lastRow="0" w:firstColumn="0" w:lastColumn="0" w:noHBand="0" w:noVBand="0"/>
      </w:tblPr>
      <w:tblGrid>
        <w:gridCol w:w="1104"/>
        <w:gridCol w:w="8431"/>
      </w:tblGrid>
      <w:tr w:rsidR="00B777AF" w:rsidRPr="00B777AF" w14:paraId="1BD8A302" w14:textId="77777777" w:rsidTr="00725E74">
        <w:trPr>
          <w:tblHeader/>
        </w:trPr>
        <w:tc>
          <w:tcPr>
            <w:tcW w:w="1104" w:type="dxa"/>
            <w:shd w:val="clear" w:color="auto" w:fill="00548C"/>
          </w:tcPr>
          <w:p w14:paraId="1BD8A300" w14:textId="77777777" w:rsidR="00D36448" w:rsidRPr="00B777AF" w:rsidRDefault="00D36448" w:rsidP="00611BB6">
            <w:pPr>
              <w:rPr>
                <w:b/>
                <w:bCs/>
                <w:color w:val="FFFFFF" w:themeColor="background1"/>
              </w:rPr>
            </w:pPr>
            <w:r w:rsidRPr="00B777AF">
              <w:rPr>
                <w:b/>
                <w:color w:val="FFFFFF" w:themeColor="background1"/>
              </w:rPr>
              <w:t>CPT</w:t>
            </w:r>
            <w:r w:rsidR="00AF5490" w:rsidRPr="00B777AF">
              <w:rPr>
                <w:b/>
                <w:color w:val="FFFFFF" w:themeColor="background1"/>
                <w:vertAlign w:val="superscript"/>
              </w:rPr>
              <w:t>®*</w:t>
            </w:r>
            <w:r w:rsidRPr="00B777AF">
              <w:rPr>
                <w:b/>
                <w:color w:val="FFFFFF" w:themeColor="background1"/>
              </w:rPr>
              <w:t xml:space="preserve"> Codes </w:t>
            </w:r>
          </w:p>
        </w:tc>
        <w:tc>
          <w:tcPr>
            <w:tcW w:w="8431" w:type="dxa"/>
            <w:shd w:val="clear" w:color="auto" w:fill="00548C"/>
          </w:tcPr>
          <w:p w14:paraId="1BD8A301" w14:textId="77777777" w:rsidR="00D36448" w:rsidRPr="00B777AF" w:rsidRDefault="00D36448" w:rsidP="00611BB6">
            <w:pPr>
              <w:rPr>
                <w:b/>
                <w:bCs/>
                <w:color w:val="FFFFFF" w:themeColor="background1"/>
              </w:rPr>
            </w:pPr>
            <w:r w:rsidRPr="00B777AF">
              <w:rPr>
                <w:b/>
                <w:color w:val="FFFFFF" w:themeColor="background1"/>
              </w:rPr>
              <w:t>Description</w:t>
            </w:r>
          </w:p>
        </w:tc>
      </w:tr>
      <w:tr w:rsidR="00292E85" w:rsidRPr="005144C0" w14:paraId="1BD8A305" w14:textId="77777777" w:rsidTr="00725E74">
        <w:tc>
          <w:tcPr>
            <w:tcW w:w="1104" w:type="dxa"/>
          </w:tcPr>
          <w:p w14:paraId="1BD8A303" w14:textId="77777777" w:rsidR="00292E85" w:rsidRPr="008B55DA" w:rsidRDefault="00292E85" w:rsidP="00611BB6">
            <w:pPr>
              <w:rPr>
                <w:bCs/>
              </w:rPr>
            </w:pPr>
            <w:r>
              <w:rPr>
                <w:bCs/>
              </w:rPr>
              <w:t>69710</w:t>
            </w:r>
          </w:p>
        </w:tc>
        <w:tc>
          <w:tcPr>
            <w:tcW w:w="8431" w:type="dxa"/>
          </w:tcPr>
          <w:p w14:paraId="1BD8A304" w14:textId="77777777" w:rsidR="00292E85" w:rsidRPr="008B55DA" w:rsidRDefault="00292E85" w:rsidP="00611BB6">
            <w:pPr>
              <w:rPr>
                <w:bCs/>
              </w:rPr>
            </w:pPr>
            <w:r>
              <w:rPr>
                <w:bCs/>
              </w:rPr>
              <w:t>Implantation or replacement of electromagnetic bone conduction hearing device in temporal bone</w:t>
            </w:r>
          </w:p>
        </w:tc>
      </w:tr>
      <w:tr w:rsidR="00292E85" w:rsidRPr="005144C0" w14:paraId="1BD8A308" w14:textId="77777777" w:rsidTr="00725E74">
        <w:tc>
          <w:tcPr>
            <w:tcW w:w="1104" w:type="dxa"/>
          </w:tcPr>
          <w:p w14:paraId="1BD8A306" w14:textId="77777777" w:rsidR="00292E85" w:rsidRPr="008B55DA" w:rsidRDefault="00292E85" w:rsidP="00611BB6">
            <w:pPr>
              <w:rPr>
                <w:bCs/>
              </w:rPr>
            </w:pPr>
            <w:r>
              <w:rPr>
                <w:bCs/>
              </w:rPr>
              <w:t>69711</w:t>
            </w:r>
          </w:p>
        </w:tc>
        <w:tc>
          <w:tcPr>
            <w:tcW w:w="8431" w:type="dxa"/>
          </w:tcPr>
          <w:p w14:paraId="1BD8A307" w14:textId="77777777" w:rsidR="00292E85" w:rsidRPr="008B55DA" w:rsidRDefault="00292E85" w:rsidP="00611BB6">
            <w:pPr>
              <w:rPr>
                <w:bCs/>
              </w:rPr>
            </w:pPr>
            <w:r>
              <w:rPr>
                <w:bCs/>
              </w:rPr>
              <w:t>Removal or repair of electromagnetic bone conduction hearing device in temporal bone</w:t>
            </w:r>
          </w:p>
        </w:tc>
      </w:tr>
      <w:tr w:rsidR="00085638" w:rsidRPr="005144C0" w14:paraId="1BD8A30B" w14:textId="77777777" w:rsidTr="00725E74">
        <w:tc>
          <w:tcPr>
            <w:tcW w:w="1104" w:type="dxa"/>
          </w:tcPr>
          <w:p w14:paraId="1BD8A309" w14:textId="77777777" w:rsidR="00085638" w:rsidRDefault="00085638" w:rsidP="00611BB6">
            <w:pPr>
              <w:rPr>
                <w:bCs/>
              </w:rPr>
            </w:pPr>
            <w:r>
              <w:t>69714</w:t>
            </w:r>
          </w:p>
        </w:tc>
        <w:tc>
          <w:tcPr>
            <w:tcW w:w="8431" w:type="dxa"/>
          </w:tcPr>
          <w:p w14:paraId="1BD8A30A" w14:textId="77777777" w:rsidR="00085638" w:rsidRDefault="00085638" w:rsidP="00611BB6">
            <w:pPr>
              <w:rPr>
                <w:bCs/>
              </w:rPr>
            </w:pPr>
            <w:r>
              <w:t>Implantation, osseointegrated implant, temporal bone, with percutaneous attachment to external speech processor/cochlear stimulator; without mastoidectomy</w:t>
            </w:r>
          </w:p>
        </w:tc>
      </w:tr>
      <w:tr w:rsidR="00085638" w:rsidRPr="005144C0" w14:paraId="1BD8A30E" w14:textId="77777777" w:rsidTr="00725E74">
        <w:tc>
          <w:tcPr>
            <w:tcW w:w="1104" w:type="dxa"/>
          </w:tcPr>
          <w:p w14:paraId="1BD8A30C" w14:textId="77777777" w:rsidR="00085638" w:rsidRDefault="00085638" w:rsidP="00611BB6">
            <w:pPr>
              <w:rPr>
                <w:bCs/>
              </w:rPr>
            </w:pPr>
            <w:r>
              <w:t>69715</w:t>
            </w:r>
          </w:p>
        </w:tc>
        <w:tc>
          <w:tcPr>
            <w:tcW w:w="8431" w:type="dxa"/>
          </w:tcPr>
          <w:p w14:paraId="1BD8A30D" w14:textId="77777777" w:rsidR="00085638" w:rsidRDefault="00085638" w:rsidP="00611BB6">
            <w:pPr>
              <w:rPr>
                <w:bCs/>
              </w:rPr>
            </w:pPr>
            <w:r>
              <w:t>Implantation, osseointegrated implant, temporal bone, with percutaneous attachment to external speech processor/cochlear stimulator; with mastoidectomy</w:t>
            </w:r>
          </w:p>
        </w:tc>
      </w:tr>
      <w:tr w:rsidR="00085638" w:rsidRPr="005144C0" w14:paraId="1BD8A311" w14:textId="77777777" w:rsidTr="00725E74">
        <w:tc>
          <w:tcPr>
            <w:tcW w:w="1104" w:type="dxa"/>
          </w:tcPr>
          <w:p w14:paraId="1BD8A30F" w14:textId="77777777" w:rsidR="00085638" w:rsidRDefault="00085638" w:rsidP="00611BB6">
            <w:pPr>
              <w:rPr>
                <w:bCs/>
              </w:rPr>
            </w:pPr>
            <w:r>
              <w:t>69717</w:t>
            </w:r>
          </w:p>
        </w:tc>
        <w:tc>
          <w:tcPr>
            <w:tcW w:w="8431" w:type="dxa"/>
          </w:tcPr>
          <w:p w14:paraId="1BD8A310" w14:textId="77777777" w:rsidR="00085638" w:rsidRDefault="00085638" w:rsidP="00611BB6">
            <w:pPr>
              <w:rPr>
                <w:bCs/>
              </w:rPr>
            </w:pPr>
            <w:r>
              <w:t>Replacement (including removal of existing device), osseointegrated implant, temporal bone, with percutaneous attachment to external speech processor/cochlear stimulator; without mastoidectomy</w:t>
            </w:r>
          </w:p>
        </w:tc>
      </w:tr>
      <w:tr w:rsidR="00085638" w:rsidRPr="005144C0" w14:paraId="1BD8A314" w14:textId="77777777" w:rsidTr="00725E74">
        <w:tc>
          <w:tcPr>
            <w:tcW w:w="1104" w:type="dxa"/>
            <w:tcBorders>
              <w:bottom w:val="single" w:sz="4" w:space="0" w:color="auto"/>
            </w:tcBorders>
          </w:tcPr>
          <w:p w14:paraId="1BD8A312" w14:textId="77777777" w:rsidR="00085638" w:rsidRDefault="00085638" w:rsidP="00611BB6">
            <w:pPr>
              <w:rPr>
                <w:bCs/>
              </w:rPr>
            </w:pPr>
            <w:r>
              <w:t>69718</w:t>
            </w:r>
          </w:p>
        </w:tc>
        <w:tc>
          <w:tcPr>
            <w:tcW w:w="8431" w:type="dxa"/>
            <w:tcBorders>
              <w:bottom w:val="single" w:sz="4" w:space="0" w:color="auto"/>
            </w:tcBorders>
          </w:tcPr>
          <w:p w14:paraId="1BD8A313" w14:textId="77777777" w:rsidR="00085638" w:rsidRDefault="00085638" w:rsidP="00611BB6">
            <w:pPr>
              <w:rPr>
                <w:bCs/>
              </w:rPr>
            </w:pPr>
            <w:r>
              <w:t>Replacement (including removal of existing device), osseointegrated implant, temporal bone, with percutaneous attachment to external speech processor/cochlear stimulator; with mastoidectomy</w:t>
            </w:r>
          </w:p>
        </w:tc>
      </w:tr>
    </w:tbl>
    <w:p w14:paraId="1BD8A315" w14:textId="77777777" w:rsidR="00090C53" w:rsidRDefault="00090C53" w:rsidP="00AF5490">
      <w:pPr>
        <w:rPr>
          <w:sz w:val="20"/>
        </w:rPr>
      </w:pPr>
    </w:p>
    <w:p w14:paraId="1BD8A316" w14:textId="77777777" w:rsidR="00090C53" w:rsidRDefault="00090C53" w:rsidP="00AF5490">
      <w:pPr>
        <w:rPr>
          <w:sz w:val="20"/>
        </w:rPr>
      </w:pPr>
    </w:p>
    <w:tbl>
      <w:tblPr>
        <w:tblStyle w:val="TableGrid"/>
        <w:tblW w:w="5147" w:type="pct"/>
        <w:tblLook w:val="0020" w:firstRow="1" w:lastRow="0" w:firstColumn="0" w:lastColumn="0" w:noHBand="0" w:noVBand="0"/>
      </w:tblPr>
      <w:tblGrid>
        <w:gridCol w:w="1705"/>
        <w:gridCol w:w="7920"/>
      </w:tblGrid>
      <w:tr w:rsidR="00090C53" w:rsidRPr="00292E85" w14:paraId="1BD8A319" w14:textId="77777777" w:rsidTr="00725E74">
        <w:trPr>
          <w:tblHeader/>
        </w:trPr>
        <w:tc>
          <w:tcPr>
            <w:tcW w:w="1705" w:type="dxa"/>
            <w:shd w:val="clear" w:color="auto" w:fill="00548C"/>
          </w:tcPr>
          <w:p w14:paraId="1BD8A317" w14:textId="174B63A4" w:rsidR="00090C53" w:rsidRPr="00292E85" w:rsidRDefault="00090C53" w:rsidP="00611BB6">
            <w:pPr>
              <w:rPr>
                <w:b/>
                <w:color w:val="FFFFFF" w:themeColor="background1"/>
              </w:rPr>
            </w:pPr>
            <w:r w:rsidRPr="00292E85">
              <w:rPr>
                <w:b/>
                <w:color w:val="FFFFFF" w:themeColor="background1"/>
              </w:rPr>
              <w:t>HCPCS Code</w:t>
            </w:r>
          </w:p>
        </w:tc>
        <w:tc>
          <w:tcPr>
            <w:tcW w:w="7920" w:type="dxa"/>
            <w:shd w:val="clear" w:color="auto" w:fill="00548C"/>
          </w:tcPr>
          <w:p w14:paraId="1BD8A318" w14:textId="77777777" w:rsidR="00090C53" w:rsidRPr="00292E85" w:rsidRDefault="00090C53" w:rsidP="00611BB6">
            <w:pPr>
              <w:rPr>
                <w:b/>
                <w:color w:val="FFFFFF" w:themeColor="background1"/>
              </w:rPr>
            </w:pPr>
            <w:r w:rsidRPr="00292E85">
              <w:rPr>
                <w:b/>
                <w:color w:val="FFFFFF" w:themeColor="background1"/>
              </w:rPr>
              <w:t>Description</w:t>
            </w:r>
          </w:p>
        </w:tc>
      </w:tr>
      <w:tr w:rsidR="00085638" w:rsidRPr="008B55DA" w14:paraId="1BD8A31C" w14:textId="77777777" w:rsidTr="00725E74">
        <w:tc>
          <w:tcPr>
            <w:tcW w:w="1705" w:type="dxa"/>
          </w:tcPr>
          <w:p w14:paraId="1BD8A31A" w14:textId="77777777" w:rsidR="00085638" w:rsidRPr="008B55DA" w:rsidRDefault="00085638" w:rsidP="00611BB6">
            <w:pPr>
              <w:rPr>
                <w:bCs/>
              </w:rPr>
            </w:pPr>
            <w:r>
              <w:t>L8613</w:t>
            </w:r>
          </w:p>
        </w:tc>
        <w:tc>
          <w:tcPr>
            <w:tcW w:w="7920" w:type="dxa"/>
          </w:tcPr>
          <w:p w14:paraId="1BD8A31B" w14:textId="77777777" w:rsidR="00085638" w:rsidRPr="008B55DA" w:rsidRDefault="00085638" w:rsidP="00611BB6">
            <w:pPr>
              <w:rPr>
                <w:bCs/>
              </w:rPr>
            </w:pPr>
            <w:r>
              <w:t>Ossicular Implant</w:t>
            </w:r>
          </w:p>
        </w:tc>
      </w:tr>
      <w:tr w:rsidR="00090C53" w:rsidRPr="008B55DA" w14:paraId="1BD8A31F" w14:textId="77777777" w:rsidTr="00725E74">
        <w:tc>
          <w:tcPr>
            <w:tcW w:w="1705" w:type="dxa"/>
          </w:tcPr>
          <w:p w14:paraId="1BD8A31D" w14:textId="77777777" w:rsidR="00090C53" w:rsidRPr="008B55DA" w:rsidRDefault="00090C53" w:rsidP="00611BB6">
            <w:pPr>
              <w:rPr>
                <w:bCs/>
              </w:rPr>
            </w:pPr>
            <w:r w:rsidRPr="008B55DA">
              <w:rPr>
                <w:bCs/>
              </w:rPr>
              <w:t>L8690</w:t>
            </w:r>
          </w:p>
        </w:tc>
        <w:tc>
          <w:tcPr>
            <w:tcW w:w="7920" w:type="dxa"/>
          </w:tcPr>
          <w:p w14:paraId="1BD8A31E" w14:textId="77777777" w:rsidR="00090C53" w:rsidRPr="008B55DA" w:rsidRDefault="00090C53" w:rsidP="00611BB6">
            <w:pPr>
              <w:rPr>
                <w:bCs/>
              </w:rPr>
            </w:pPr>
            <w:r w:rsidRPr="008B55DA">
              <w:rPr>
                <w:bCs/>
              </w:rPr>
              <w:t>Auditory osseointegrated device, includes all internal and external components</w:t>
            </w:r>
          </w:p>
        </w:tc>
      </w:tr>
      <w:tr w:rsidR="00090C53" w:rsidRPr="008B55DA" w14:paraId="1BD8A322" w14:textId="77777777" w:rsidTr="00725E74">
        <w:tc>
          <w:tcPr>
            <w:tcW w:w="1705" w:type="dxa"/>
          </w:tcPr>
          <w:p w14:paraId="1BD8A320" w14:textId="77777777" w:rsidR="00090C53" w:rsidRPr="008B55DA" w:rsidRDefault="00090C53" w:rsidP="00611BB6">
            <w:pPr>
              <w:rPr>
                <w:bCs/>
              </w:rPr>
            </w:pPr>
            <w:r w:rsidRPr="008B55DA">
              <w:rPr>
                <w:bCs/>
              </w:rPr>
              <w:t>L8691</w:t>
            </w:r>
          </w:p>
        </w:tc>
        <w:tc>
          <w:tcPr>
            <w:tcW w:w="7920" w:type="dxa"/>
          </w:tcPr>
          <w:p w14:paraId="1BD8A321" w14:textId="77777777" w:rsidR="00090C53" w:rsidRPr="008B55DA" w:rsidRDefault="00090C53" w:rsidP="00611BB6">
            <w:pPr>
              <w:rPr>
                <w:bCs/>
              </w:rPr>
            </w:pPr>
            <w:r w:rsidRPr="008B55DA">
              <w:rPr>
                <w:bCs/>
              </w:rPr>
              <w:t>Auditory osseointegrated device, external sound processor, replacement</w:t>
            </w:r>
          </w:p>
        </w:tc>
      </w:tr>
      <w:tr w:rsidR="00090C53" w:rsidRPr="008B55DA" w14:paraId="1BD8A325" w14:textId="77777777" w:rsidTr="00725E74">
        <w:tc>
          <w:tcPr>
            <w:tcW w:w="1705" w:type="dxa"/>
          </w:tcPr>
          <w:p w14:paraId="1BD8A323" w14:textId="77777777" w:rsidR="00090C53" w:rsidRPr="008B55DA" w:rsidRDefault="00090C53" w:rsidP="00611BB6">
            <w:pPr>
              <w:rPr>
                <w:bCs/>
              </w:rPr>
            </w:pPr>
            <w:r w:rsidRPr="008B55DA">
              <w:rPr>
                <w:bCs/>
              </w:rPr>
              <w:t>L8693</w:t>
            </w:r>
          </w:p>
        </w:tc>
        <w:tc>
          <w:tcPr>
            <w:tcW w:w="7920" w:type="dxa"/>
          </w:tcPr>
          <w:p w14:paraId="1BD8A324" w14:textId="77777777" w:rsidR="00090C53" w:rsidRPr="008B55DA" w:rsidRDefault="00090C53" w:rsidP="00611BB6">
            <w:pPr>
              <w:rPr>
                <w:bCs/>
              </w:rPr>
            </w:pPr>
            <w:r w:rsidRPr="008B55DA">
              <w:rPr>
                <w:bCs/>
              </w:rPr>
              <w:t>Auditory osseointegrated device abutment, any length, replacement only</w:t>
            </w:r>
          </w:p>
        </w:tc>
      </w:tr>
    </w:tbl>
    <w:p w14:paraId="1BD8A326" w14:textId="77777777" w:rsidR="00090C53" w:rsidRDefault="00090C53" w:rsidP="00AF5490">
      <w:pPr>
        <w:rPr>
          <w:sz w:val="20"/>
        </w:rPr>
      </w:pPr>
    </w:p>
    <w:p w14:paraId="1BD8A327" w14:textId="77777777" w:rsidR="00350F22" w:rsidRPr="00350F22" w:rsidRDefault="00350F22" w:rsidP="00AF5490">
      <w:pPr>
        <w:rPr>
          <w:b/>
        </w:rPr>
      </w:pPr>
      <w:r w:rsidRPr="00350F22">
        <w:rPr>
          <w:b/>
        </w:rPr>
        <w:t xml:space="preserve">ICD-10-CM Diagnosis Codes </w:t>
      </w:r>
    </w:p>
    <w:tbl>
      <w:tblPr>
        <w:tblStyle w:val="TableGrid"/>
        <w:tblW w:w="5147" w:type="pct"/>
        <w:tblLook w:val="0020" w:firstRow="1" w:lastRow="0" w:firstColumn="0" w:lastColumn="0" w:noHBand="0" w:noVBand="0"/>
      </w:tblPr>
      <w:tblGrid>
        <w:gridCol w:w="2155"/>
        <w:gridCol w:w="7470"/>
      </w:tblGrid>
      <w:tr w:rsidR="00350F22" w:rsidRPr="00B777AF" w14:paraId="1BD8A32A" w14:textId="77777777" w:rsidTr="00725E74">
        <w:trPr>
          <w:tblHeader/>
        </w:trPr>
        <w:tc>
          <w:tcPr>
            <w:tcW w:w="2155" w:type="dxa"/>
            <w:shd w:val="clear" w:color="auto" w:fill="00548C"/>
          </w:tcPr>
          <w:p w14:paraId="1BD8A328" w14:textId="77777777" w:rsidR="00350F22" w:rsidRPr="00350F22" w:rsidRDefault="00350F22" w:rsidP="00350F22">
            <w:pPr>
              <w:rPr>
                <w:b/>
                <w:bCs/>
                <w:color w:val="FFFFFF"/>
              </w:rPr>
            </w:pPr>
            <w:r>
              <w:rPr>
                <w:b/>
                <w:color w:val="FFFFFF"/>
              </w:rPr>
              <w:t>ICD-10-CM Code</w:t>
            </w:r>
          </w:p>
        </w:tc>
        <w:tc>
          <w:tcPr>
            <w:tcW w:w="7470" w:type="dxa"/>
            <w:shd w:val="clear" w:color="auto" w:fill="00548C"/>
          </w:tcPr>
          <w:p w14:paraId="1BD8A329" w14:textId="77777777" w:rsidR="00350F22" w:rsidRPr="00350F22" w:rsidRDefault="00350F22" w:rsidP="00611BB6">
            <w:pPr>
              <w:rPr>
                <w:b/>
                <w:bCs/>
                <w:color w:val="FFFFFF"/>
              </w:rPr>
            </w:pPr>
            <w:r w:rsidRPr="00350F22">
              <w:rPr>
                <w:b/>
                <w:color w:val="FFFFFF"/>
              </w:rPr>
              <w:t>Description</w:t>
            </w:r>
          </w:p>
        </w:tc>
      </w:tr>
      <w:tr w:rsidR="00350F22" w:rsidRPr="005144C0" w14:paraId="1BD8A32D" w14:textId="77777777" w:rsidTr="00725E74">
        <w:tc>
          <w:tcPr>
            <w:tcW w:w="2155" w:type="dxa"/>
          </w:tcPr>
          <w:p w14:paraId="1BD8A32B" w14:textId="77777777" w:rsidR="00350F22" w:rsidRPr="005144C0" w:rsidRDefault="00085638" w:rsidP="00611BB6">
            <w:pPr>
              <w:rPr>
                <w:bCs/>
              </w:rPr>
            </w:pPr>
            <w:r>
              <w:t>H60.00-H62.8X9</w:t>
            </w:r>
          </w:p>
        </w:tc>
        <w:tc>
          <w:tcPr>
            <w:tcW w:w="7470" w:type="dxa"/>
          </w:tcPr>
          <w:p w14:paraId="1BD8A32C" w14:textId="77777777" w:rsidR="00350F22" w:rsidRPr="005144C0" w:rsidRDefault="00085638" w:rsidP="00611BB6">
            <w:pPr>
              <w:rPr>
                <w:bCs/>
              </w:rPr>
            </w:pPr>
            <w:r>
              <w:t>Diseases of external ear</w:t>
            </w:r>
          </w:p>
        </w:tc>
      </w:tr>
      <w:tr w:rsidR="00085638" w:rsidRPr="005144C0" w14:paraId="1BD8A330" w14:textId="77777777" w:rsidTr="00725E74">
        <w:tc>
          <w:tcPr>
            <w:tcW w:w="2155" w:type="dxa"/>
          </w:tcPr>
          <w:p w14:paraId="1BD8A32E" w14:textId="77777777" w:rsidR="00085638" w:rsidRPr="005144C0" w:rsidRDefault="00085638" w:rsidP="00611BB6">
            <w:pPr>
              <w:rPr>
                <w:bCs/>
              </w:rPr>
            </w:pPr>
            <w:r>
              <w:t>H61.001- H61.039</w:t>
            </w:r>
          </w:p>
        </w:tc>
        <w:tc>
          <w:tcPr>
            <w:tcW w:w="7470" w:type="dxa"/>
          </w:tcPr>
          <w:p w14:paraId="1BD8A32F" w14:textId="77777777" w:rsidR="00085638" w:rsidRPr="005144C0" w:rsidRDefault="00085638" w:rsidP="00611BB6">
            <w:pPr>
              <w:rPr>
                <w:bCs/>
              </w:rPr>
            </w:pPr>
            <w:r>
              <w:t>Chondritis and perichondritis of external ear</w:t>
            </w:r>
          </w:p>
        </w:tc>
      </w:tr>
      <w:tr w:rsidR="00085638" w:rsidRPr="005144C0" w14:paraId="1BD8A333" w14:textId="77777777" w:rsidTr="00725E74">
        <w:tc>
          <w:tcPr>
            <w:tcW w:w="2155" w:type="dxa"/>
          </w:tcPr>
          <w:p w14:paraId="1BD8A331" w14:textId="77777777" w:rsidR="00085638" w:rsidRPr="005144C0" w:rsidRDefault="00085638" w:rsidP="00611BB6">
            <w:pPr>
              <w:rPr>
                <w:bCs/>
              </w:rPr>
            </w:pPr>
            <w:r>
              <w:t>H65.20- H65.23</w:t>
            </w:r>
          </w:p>
        </w:tc>
        <w:tc>
          <w:tcPr>
            <w:tcW w:w="7470" w:type="dxa"/>
          </w:tcPr>
          <w:p w14:paraId="1BD8A332" w14:textId="77777777" w:rsidR="00085638" w:rsidRPr="005144C0" w:rsidRDefault="00085638" w:rsidP="00611BB6">
            <w:pPr>
              <w:rPr>
                <w:bCs/>
              </w:rPr>
            </w:pPr>
            <w:r>
              <w:t>Chronic serous otitis media</w:t>
            </w:r>
          </w:p>
        </w:tc>
      </w:tr>
      <w:tr w:rsidR="00085638" w:rsidRPr="005144C0" w14:paraId="1BD8A336" w14:textId="77777777" w:rsidTr="00725E74">
        <w:tc>
          <w:tcPr>
            <w:tcW w:w="2155" w:type="dxa"/>
          </w:tcPr>
          <w:p w14:paraId="1BD8A334" w14:textId="77777777" w:rsidR="00085638" w:rsidRPr="005144C0" w:rsidRDefault="00085638" w:rsidP="00611BB6">
            <w:pPr>
              <w:rPr>
                <w:bCs/>
              </w:rPr>
            </w:pPr>
            <w:r>
              <w:t>H65.30- H65.33</w:t>
            </w:r>
          </w:p>
        </w:tc>
        <w:tc>
          <w:tcPr>
            <w:tcW w:w="7470" w:type="dxa"/>
          </w:tcPr>
          <w:p w14:paraId="1BD8A335" w14:textId="77777777" w:rsidR="00085638" w:rsidRPr="005144C0" w:rsidRDefault="00085638" w:rsidP="00611BB6">
            <w:pPr>
              <w:rPr>
                <w:bCs/>
              </w:rPr>
            </w:pPr>
            <w:r>
              <w:t>Chronic mucoid otitis media</w:t>
            </w:r>
          </w:p>
        </w:tc>
      </w:tr>
      <w:tr w:rsidR="00085638" w:rsidRPr="005144C0" w14:paraId="1BD8A339" w14:textId="77777777" w:rsidTr="00725E74">
        <w:tc>
          <w:tcPr>
            <w:tcW w:w="2155" w:type="dxa"/>
          </w:tcPr>
          <w:p w14:paraId="1BD8A337" w14:textId="77777777" w:rsidR="00085638" w:rsidRPr="005144C0" w:rsidRDefault="00085638" w:rsidP="00611BB6">
            <w:pPr>
              <w:rPr>
                <w:bCs/>
              </w:rPr>
            </w:pPr>
            <w:r>
              <w:t>H65.411- H65.499</w:t>
            </w:r>
          </w:p>
        </w:tc>
        <w:tc>
          <w:tcPr>
            <w:tcW w:w="7470" w:type="dxa"/>
          </w:tcPr>
          <w:p w14:paraId="1BD8A338" w14:textId="77777777" w:rsidR="00085638" w:rsidRPr="005144C0" w:rsidRDefault="00085638" w:rsidP="00611BB6">
            <w:pPr>
              <w:rPr>
                <w:bCs/>
              </w:rPr>
            </w:pPr>
            <w:r>
              <w:t>Other chronic non-suppurative otitis media</w:t>
            </w:r>
          </w:p>
        </w:tc>
      </w:tr>
      <w:tr w:rsidR="00085638" w:rsidRPr="005144C0" w14:paraId="1BD8A33C" w14:textId="77777777" w:rsidTr="00725E74">
        <w:tc>
          <w:tcPr>
            <w:tcW w:w="2155" w:type="dxa"/>
          </w:tcPr>
          <w:p w14:paraId="1BD8A33A" w14:textId="77777777" w:rsidR="00085638" w:rsidRPr="005144C0" w:rsidRDefault="00085638" w:rsidP="00611BB6">
            <w:pPr>
              <w:rPr>
                <w:bCs/>
              </w:rPr>
            </w:pPr>
            <w:r>
              <w:t>H71.00- H71.93</w:t>
            </w:r>
          </w:p>
        </w:tc>
        <w:tc>
          <w:tcPr>
            <w:tcW w:w="7470" w:type="dxa"/>
          </w:tcPr>
          <w:p w14:paraId="1BD8A33B" w14:textId="77777777" w:rsidR="00085638" w:rsidRPr="005144C0" w:rsidRDefault="00085638" w:rsidP="00611BB6">
            <w:pPr>
              <w:rPr>
                <w:bCs/>
              </w:rPr>
            </w:pPr>
            <w:r>
              <w:t>Cholesteatoma of middle ear</w:t>
            </w:r>
          </w:p>
        </w:tc>
      </w:tr>
      <w:tr w:rsidR="00085638" w:rsidRPr="005144C0" w14:paraId="1BD8A33F" w14:textId="77777777" w:rsidTr="00725E74">
        <w:tc>
          <w:tcPr>
            <w:tcW w:w="2155" w:type="dxa"/>
          </w:tcPr>
          <w:p w14:paraId="1BD8A33D" w14:textId="77777777" w:rsidR="00085638" w:rsidRPr="005144C0" w:rsidRDefault="00085638" w:rsidP="00611BB6">
            <w:pPr>
              <w:rPr>
                <w:bCs/>
              </w:rPr>
            </w:pPr>
            <w:r>
              <w:t>H800.00- H80.93</w:t>
            </w:r>
          </w:p>
        </w:tc>
        <w:tc>
          <w:tcPr>
            <w:tcW w:w="7470" w:type="dxa"/>
          </w:tcPr>
          <w:p w14:paraId="1BD8A33E" w14:textId="77777777" w:rsidR="00085638" w:rsidRPr="005144C0" w:rsidRDefault="00085638" w:rsidP="00611BB6">
            <w:pPr>
              <w:rPr>
                <w:bCs/>
              </w:rPr>
            </w:pPr>
            <w:r>
              <w:t>Otosclerosis</w:t>
            </w:r>
          </w:p>
        </w:tc>
      </w:tr>
      <w:tr w:rsidR="00085638" w:rsidRPr="005144C0" w14:paraId="1BD8A342" w14:textId="77777777" w:rsidTr="00725E74">
        <w:tc>
          <w:tcPr>
            <w:tcW w:w="2155" w:type="dxa"/>
          </w:tcPr>
          <w:p w14:paraId="1BD8A340" w14:textId="20061BD7" w:rsidR="00085638" w:rsidRPr="005144C0" w:rsidRDefault="00085638" w:rsidP="00F55F2C">
            <w:pPr>
              <w:rPr>
                <w:bCs/>
              </w:rPr>
            </w:pPr>
            <w:r>
              <w:t>H90.</w:t>
            </w:r>
            <w:r w:rsidR="00F55F2C">
              <w:t>0</w:t>
            </w:r>
            <w:r>
              <w:t>-H90.8</w:t>
            </w:r>
          </w:p>
        </w:tc>
        <w:tc>
          <w:tcPr>
            <w:tcW w:w="7470" w:type="dxa"/>
          </w:tcPr>
          <w:p w14:paraId="1BD8A341" w14:textId="77777777" w:rsidR="00085638" w:rsidRPr="005144C0" w:rsidRDefault="00085638" w:rsidP="00611BB6">
            <w:pPr>
              <w:rPr>
                <w:bCs/>
              </w:rPr>
            </w:pPr>
            <w:r>
              <w:t>Conductive and sensorineural hearing loss</w:t>
            </w:r>
          </w:p>
        </w:tc>
      </w:tr>
      <w:tr w:rsidR="00085638" w:rsidRPr="005144C0" w14:paraId="1BD8A345" w14:textId="77777777" w:rsidTr="00725E74">
        <w:tc>
          <w:tcPr>
            <w:tcW w:w="2155" w:type="dxa"/>
          </w:tcPr>
          <w:p w14:paraId="1BD8A343" w14:textId="77777777" w:rsidR="00085638" w:rsidRPr="005144C0" w:rsidRDefault="00085638" w:rsidP="00611BB6">
            <w:pPr>
              <w:rPr>
                <w:bCs/>
              </w:rPr>
            </w:pPr>
            <w:r>
              <w:t>H91.01- H91.93</w:t>
            </w:r>
          </w:p>
        </w:tc>
        <w:tc>
          <w:tcPr>
            <w:tcW w:w="7470" w:type="dxa"/>
          </w:tcPr>
          <w:p w14:paraId="1BD8A344" w14:textId="77777777" w:rsidR="00085638" w:rsidRPr="005144C0" w:rsidRDefault="00085638" w:rsidP="00611BB6">
            <w:pPr>
              <w:rPr>
                <w:bCs/>
              </w:rPr>
            </w:pPr>
            <w:r>
              <w:t>Other and unspecified hearing loss</w:t>
            </w:r>
          </w:p>
        </w:tc>
      </w:tr>
      <w:tr w:rsidR="00085638" w:rsidRPr="005144C0" w14:paraId="1BD8A348" w14:textId="77777777" w:rsidTr="00725E74">
        <w:tc>
          <w:tcPr>
            <w:tcW w:w="2155" w:type="dxa"/>
          </w:tcPr>
          <w:p w14:paraId="1BD8A346" w14:textId="77777777" w:rsidR="00085638" w:rsidRPr="005144C0" w:rsidRDefault="00085638" w:rsidP="00611BB6">
            <w:pPr>
              <w:rPr>
                <w:bCs/>
              </w:rPr>
            </w:pPr>
            <w:r>
              <w:t>Q16.0- Q16.9</w:t>
            </w:r>
          </w:p>
        </w:tc>
        <w:tc>
          <w:tcPr>
            <w:tcW w:w="7470" w:type="dxa"/>
          </w:tcPr>
          <w:p w14:paraId="1BD8A347" w14:textId="77777777" w:rsidR="00085638" w:rsidRPr="005144C0" w:rsidRDefault="00085638" w:rsidP="00611BB6">
            <w:pPr>
              <w:rPr>
                <w:bCs/>
              </w:rPr>
            </w:pPr>
            <w:r>
              <w:t>Congenital malformation of ear causing impairment of hearing</w:t>
            </w:r>
          </w:p>
        </w:tc>
      </w:tr>
    </w:tbl>
    <w:p w14:paraId="1BD8A349" w14:textId="77777777" w:rsidR="00350F22" w:rsidRDefault="00350F22" w:rsidP="00AF5490"/>
    <w:tbl>
      <w:tblPr>
        <w:tblStyle w:val="LightList-Accent1"/>
        <w:tblW w:w="9648"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ayout w:type="fixed"/>
        <w:tblLook w:val="0020" w:firstRow="1" w:lastRow="0" w:firstColumn="0" w:lastColumn="0" w:noHBand="0" w:noVBand="0"/>
      </w:tblPr>
      <w:tblGrid>
        <w:gridCol w:w="7578"/>
        <w:gridCol w:w="810"/>
        <w:gridCol w:w="1260"/>
      </w:tblGrid>
      <w:tr w:rsidR="00B777AF" w:rsidRPr="00B777AF" w14:paraId="1BD8A34D" w14:textId="77777777" w:rsidTr="005776FD">
        <w:trPr>
          <w:cnfStyle w:val="100000000000" w:firstRow="1" w:lastRow="0" w:firstColumn="0" w:lastColumn="0" w:oddVBand="0" w:evenVBand="0" w:oddHBand="0" w:evenHBand="0" w:firstRowFirstColumn="0" w:firstRowLastColumn="0" w:lastRowFirstColumn="0" w:lastRowLastColumn="0"/>
          <w:tblHeader/>
        </w:trPr>
        <w:tc>
          <w:tcPr>
            <w:cnfStyle w:val="000010000000" w:firstRow="0" w:lastRow="0" w:firstColumn="0" w:lastColumn="0" w:oddVBand="1" w:evenVBand="0" w:oddHBand="0" w:evenHBand="0" w:firstRowFirstColumn="0" w:firstRowLastColumn="0" w:lastRowFirstColumn="0" w:lastRowLastColumn="0"/>
            <w:tcW w:w="7578" w:type="dxa"/>
            <w:tcBorders>
              <w:left w:val="none" w:sz="0" w:space="0" w:color="auto"/>
              <w:right w:val="none" w:sz="0" w:space="0" w:color="auto"/>
            </w:tcBorders>
            <w:shd w:val="clear" w:color="auto" w:fill="00548C"/>
          </w:tcPr>
          <w:p w14:paraId="1BD8A34A" w14:textId="77777777" w:rsidR="00B777AF" w:rsidRPr="00B777AF" w:rsidRDefault="00B777AF" w:rsidP="00B777AF">
            <w:pPr>
              <w:rPr>
                <w:bCs w:val="0"/>
              </w:rPr>
            </w:pPr>
            <w:bookmarkStart w:id="1" w:name="Revision_Log"/>
            <w:r w:rsidRPr="00B777AF">
              <w:rPr>
                <w:bCs w:val="0"/>
              </w:rPr>
              <w:t>Reviews</w:t>
            </w:r>
            <w:r>
              <w:rPr>
                <w:bCs w:val="0"/>
              </w:rPr>
              <w:t>, Revisions, and Approvals</w:t>
            </w:r>
            <w:bookmarkEnd w:id="1"/>
          </w:p>
        </w:tc>
        <w:tc>
          <w:tcPr>
            <w:tcW w:w="810" w:type="dxa"/>
            <w:shd w:val="clear" w:color="auto" w:fill="00548C"/>
          </w:tcPr>
          <w:p w14:paraId="1BD8A34B" w14:textId="77777777" w:rsidR="00B777AF" w:rsidRPr="00B777AF" w:rsidRDefault="00B777AF" w:rsidP="005776FD">
            <w:pPr>
              <w:jc w:val="center"/>
              <w:cnfStyle w:val="100000000000" w:firstRow="1" w:lastRow="0" w:firstColumn="0" w:lastColumn="0" w:oddVBand="0" w:evenVBand="0" w:oddHBand="0" w:evenHBand="0" w:firstRowFirstColumn="0" w:firstRowLastColumn="0" w:lastRowFirstColumn="0" w:lastRowLastColumn="0"/>
              <w:rPr>
                <w:bCs w:val="0"/>
              </w:rPr>
            </w:pPr>
            <w:r w:rsidRPr="00B777AF">
              <w:rPr>
                <w:bCs w:val="0"/>
              </w:rPr>
              <w:t>Date</w:t>
            </w:r>
          </w:p>
        </w:tc>
        <w:tc>
          <w:tcPr>
            <w:cnfStyle w:val="000010000000" w:firstRow="0" w:lastRow="0" w:firstColumn="0" w:lastColumn="0" w:oddVBand="1" w:evenVBand="0" w:oddHBand="0" w:evenHBand="0" w:firstRowFirstColumn="0" w:firstRowLastColumn="0" w:lastRowFirstColumn="0" w:lastRowLastColumn="0"/>
            <w:tcW w:w="1260" w:type="dxa"/>
            <w:tcBorders>
              <w:left w:val="none" w:sz="0" w:space="0" w:color="auto"/>
              <w:right w:val="none" w:sz="0" w:space="0" w:color="auto"/>
            </w:tcBorders>
            <w:shd w:val="clear" w:color="auto" w:fill="00548C"/>
          </w:tcPr>
          <w:p w14:paraId="1BD8A34C" w14:textId="77777777" w:rsidR="00B777AF" w:rsidRPr="00B777AF" w:rsidRDefault="001818D7" w:rsidP="00857C10">
            <w:pPr>
              <w:jc w:val="center"/>
              <w:rPr>
                <w:bCs w:val="0"/>
              </w:rPr>
            </w:pPr>
            <w:r>
              <w:rPr>
                <w:bCs w:val="0"/>
              </w:rPr>
              <w:t>Approval</w:t>
            </w:r>
            <w:r w:rsidR="00B777AF" w:rsidRPr="00B777AF">
              <w:rPr>
                <w:bCs w:val="0"/>
              </w:rPr>
              <w:t xml:space="preserve"> Date</w:t>
            </w:r>
          </w:p>
        </w:tc>
      </w:tr>
      <w:tr w:rsidR="002A1E25" w14:paraId="1BD8A351" w14:textId="77777777" w:rsidTr="005776F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578" w:type="dxa"/>
          </w:tcPr>
          <w:p w14:paraId="1BD8A34E" w14:textId="77777777" w:rsidR="002A1E25" w:rsidRDefault="002A1E25" w:rsidP="00611BB6">
            <w:pPr>
              <w:tabs>
                <w:tab w:val="num" w:pos="720"/>
              </w:tabs>
            </w:pPr>
            <w:r>
              <w:t>Policy developed, specialist reviewed</w:t>
            </w:r>
          </w:p>
        </w:tc>
        <w:tc>
          <w:tcPr>
            <w:tcW w:w="810" w:type="dxa"/>
          </w:tcPr>
          <w:p w14:paraId="1BD8A34F" w14:textId="77777777" w:rsidR="002A1E25" w:rsidRDefault="002A1E25" w:rsidP="005776FD">
            <w:pPr>
              <w:jc w:val="center"/>
              <w:cnfStyle w:val="000000100000" w:firstRow="0" w:lastRow="0" w:firstColumn="0" w:lastColumn="0" w:oddVBand="0" w:evenVBand="0" w:oddHBand="1" w:evenHBand="0" w:firstRowFirstColumn="0" w:firstRowLastColumn="0" w:lastRowFirstColumn="0" w:lastRowLastColumn="0"/>
            </w:pPr>
            <w:r>
              <w:t>11/13</w:t>
            </w:r>
          </w:p>
        </w:tc>
        <w:tc>
          <w:tcPr>
            <w:cnfStyle w:val="000010000000" w:firstRow="0" w:lastRow="0" w:firstColumn="0" w:lastColumn="0" w:oddVBand="1" w:evenVBand="0" w:oddHBand="0" w:evenHBand="0" w:firstRowFirstColumn="0" w:firstRowLastColumn="0" w:lastRowFirstColumn="0" w:lastRowLastColumn="0"/>
            <w:tcW w:w="1260" w:type="dxa"/>
          </w:tcPr>
          <w:p w14:paraId="1BD8A350" w14:textId="77777777" w:rsidR="002A1E25" w:rsidRDefault="002A1E25" w:rsidP="00857C10">
            <w:pPr>
              <w:jc w:val="center"/>
            </w:pPr>
            <w:r>
              <w:t>12/13</w:t>
            </w:r>
          </w:p>
        </w:tc>
      </w:tr>
      <w:tr w:rsidR="00B777AF" w14:paraId="1BD8A355" w14:textId="77777777" w:rsidTr="005776FD">
        <w:tc>
          <w:tcPr>
            <w:cnfStyle w:val="000010000000" w:firstRow="0" w:lastRow="0" w:firstColumn="0" w:lastColumn="0" w:oddVBand="1" w:evenVBand="0" w:oddHBand="0" w:evenHBand="0" w:firstRowFirstColumn="0" w:firstRowLastColumn="0" w:lastRowFirstColumn="0" w:lastRowLastColumn="0"/>
            <w:tcW w:w="7578" w:type="dxa"/>
            <w:tcBorders>
              <w:left w:val="none" w:sz="0" w:space="0" w:color="auto"/>
              <w:right w:val="none" w:sz="0" w:space="0" w:color="auto"/>
            </w:tcBorders>
          </w:tcPr>
          <w:p w14:paraId="1BD8A352" w14:textId="77777777" w:rsidR="00B777AF" w:rsidRDefault="002A1E25" w:rsidP="00611BB6">
            <w:pPr>
              <w:tabs>
                <w:tab w:val="num" w:pos="720"/>
              </w:tabs>
            </w:pPr>
            <w:r>
              <w:t>Added the indication for soft headbands for children &lt;6 yrs and those unable to have an implant</w:t>
            </w:r>
          </w:p>
        </w:tc>
        <w:tc>
          <w:tcPr>
            <w:tcW w:w="810" w:type="dxa"/>
          </w:tcPr>
          <w:p w14:paraId="1BD8A353" w14:textId="77777777" w:rsidR="00B777AF" w:rsidRDefault="002A1E25" w:rsidP="005776FD">
            <w:pPr>
              <w:jc w:val="center"/>
              <w:cnfStyle w:val="000000000000" w:firstRow="0" w:lastRow="0" w:firstColumn="0" w:lastColumn="0" w:oddVBand="0" w:evenVBand="0" w:oddHBand="0" w:evenHBand="0" w:firstRowFirstColumn="0" w:firstRowLastColumn="0" w:lastRowFirstColumn="0" w:lastRowLastColumn="0"/>
            </w:pPr>
            <w:r>
              <w:t>11/14</w:t>
            </w:r>
          </w:p>
        </w:tc>
        <w:tc>
          <w:tcPr>
            <w:cnfStyle w:val="000010000000" w:firstRow="0" w:lastRow="0" w:firstColumn="0" w:lastColumn="0" w:oddVBand="1" w:evenVBand="0" w:oddHBand="0" w:evenHBand="0" w:firstRowFirstColumn="0" w:firstRowLastColumn="0" w:lastRowFirstColumn="0" w:lastRowLastColumn="0"/>
            <w:tcW w:w="1260" w:type="dxa"/>
            <w:tcBorders>
              <w:left w:val="none" w:sz="0" w:space="0" w:color="auto"/>
              <w:right w:val="none" w:sz="0" w:space="0" w:color="auto"/>
            </w:tcBorders>
          </w:tcPr>
          <w:p w14:paraId="1BD8A354" w14:textId="77777777" w:rsidR="00B777AF" w:rsidRDefault="002A1E25" w:rsidP="00857C10">
            <w:pPr>
              <w:jc w:val="center"/>
            </w:pPr>
            <w:r>
              <w:t>12/14</w:t>
            </w:r>
          </w:p>
        </w:tc>
      </w:tr>
      <w:tr w:rsidR="002A1E25" w14:paraId="1BD8A35A" w14:textId="77777777" w:rsidTr="005776F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578" w:type="dxa"/>
          </w:tcPr>
          <w:p w14:paraId="1BD8A356" w14:textId="77777777" w:rsidR="002A1E25" w:rsidRDefault="002A1E25" w:rsidP="00611BB6">
            <w:pPr>
              <w:tabs>
                <w:tab w:val="num" w:pos="720"/>
              </w:tabs>
            </w:pPr>
            <w:r>
              <w:t>Reworded policy/criteria for clarity</w:t>
            </w:r>
          </w:p>
          <w:p w14:paraId="1BD8A357" w14:textId="77777777" w:rsidR="00171CDE" w:rsidRDefault="00171CDE" w:rsidP="00611BB6">
            <w:pPr>
              <w:tabs>
                <w:tab w:val="num" w:pos="720"/>
              </w:tabs>
            </w:pPr>
            <w:r>
              <w:lastRenderedPageBreak/>
              <w:t>Updated template</w:t>
            </w:r>
          </w:p>
        </w:tc>
        <w:tc>
          <w:tcPr>
            <w:tcW w:w="810" w:type="dxa"/>
          </w:tcPr>
          <w:p w14:paraId="1BD8A358" w14:textId="77777777" w:rsidR="002A1E25" w:rsidRDefault="002A1E25" w:rsidP="005776FD">
            <w:pPr>
              <w:jc w:val="center"/>
              <w:cnfStyle w:val="000000100000" w:firstRow="0" w:lastRow="0" w:firstColumn="0" w:lastColumn="0" w:oddVBand="0" w:evenVBand="0" w:oddHBand="1" w:evenHBand="0" w:firstRowFirstColumn="0" w:firstRowLastColumn="0" w:lastRowFirstColumn="0" w:lastRowLastColumn="0"/>
            </w:pPr>
            <w:r>
              <w:lastRenderedPageBreak/>
              <w:t>12/15</w:t>
            </w:r>
          </w:p>
        </w:tc>
        <w:tc>
          <w:tcPr>
            <w:cnfStyle w:val="000010000000" w:firstRow="0" w:lastRow="0" w:firstColumn="0" w:lastColumn="0" w:oddVBand="1" w:evenVBand="0" w:oddHBand="0" w:evenHBand="0" w:firstRowFirstColumn="0" w:firstRowLastColumn="0" w:lastRowFirstColumn="0" w:lastRowLastColumn="0"/>
            <w:tcW w:w="1260" w:type="dxa"/>
          </w:tcPr>
          <w:p w14:paraId="1BD8A359" w14:textId="77777777" w:rsidR="002A1E25" w:rsidRDefault="00724F83" w:rsidP="00857C10">
            <w:pPr>
              <w:jc w:val="center"/>
            </w:pPr>
            <w:r>
              <w:t>1215</w:t>
            </w:r>
          </w:p>
        </w:tc>
      </w:tr>
      <w:tr w:rsidR="006F0C1A" w14:paraId="1BD8A35E" w14:textId="77777777" w:rsidTr="005776FD">
        <w:tc>
          <w:tcPr>
            <w:cnfStyle w:val="000010000000" w:firstRow="0" w:lastRow="0" w:firstColumn="0" w:lastColumn="0" w:oddVBand="1" w:evenVBand="0" w:oddHBand="0" w:evenHBand="0" w:firstRowFirstColumn="0" w:firstRowLastColumn="0" w:lastRowFirstColumn="0" w:lastRowLastColumn="0"/>
            <w:tcW w:w="7578" w:type="dxa"/>
          </w:tcPr>
          <w:p w14:paraId="1BD8A35B" w14:textId="77777777" w:rsidR="00085638" w:rsidRDefault="00085638" w:rsidP="00611BB6">
            <w:pPr>
              <w:tabs>
                <w:tab w:val="num" w:pos="720"/>
              </w:tabs>
            </w:pPr>
            <w:r>
              <w:t>Updated template, added dermatitis to criteria I</w:t>
            </w:r>
            <w:r w:rsidR="00BE4442">
              <w:t>.</w:t>
            </w:r>
            <w:r>
              <w:t>D</w:t>
            </w:r>
            <w:r w:rsidR="00BE4442">
              <w:t>.</w:t>
            </w:r>
            <w:r>
              <w:t>2, added criteria I</w:t>
            </w:r>
            <w:r w:rsidR="00BE4442">
              <w:t>.</w:t>
            </w:r>
            <w:r>
              <w:t>D</w:t>
            </w:r>
            <w:r w:rsidR="00BE4442">
              <w:t>.</w:t>
            </w:r>
            <w:r>
              <w:t xml:space="preserve">5: “tumors </w:t>
            </w:r>
            <w:r w:rsidRPr="00085638">
              <w:t>of the extern</w:t>
            </w:r>
            <w:r>
              <w:t>al canal and/or tympanic cavity”.</w:t>
            </w:r>
            <w:r w:rsidR="00E63096">
              <w:t xml:space="preserve"> Updated hearing loss statistics in background.</w:t>
            </w:r>
          </w:p>
        </w:tc>
        <w:tc>
          <w:tcPr>
            <w:tcW w:w="810" w:type="dxa"/>
          </w:tcPr>
          <w:p w14:paraId="1BD8A35C" w14:textId="77777777" w:rsidR="006F0C1A" w:rsidRDefault="006F0C1A" w:rsidP="005776FD">
            <w:pPr>
              <w:jc w:val="center"/>
              <w:cnfStyle w:val="000000000000" w:firstRow="0" w:lastRow="0" w:firstColumn="0" w:lastColumn="0" w:oddVBand="0" w:evenVBand="0" w:oddHBand="0" w:evenHBand="0" w:firstRowFirstColumn="0" w:firstRowLastColumn="0" w:lastRowFirstColumn="0" w:lastRowLastColumn="0"/>
            </w:pPr>
            <w:r>
              <w:t>11/16</w:t>
            </w:r>
          </w:p>
        </w:tc>
        <w:tc>
          <w:tcPr>
            <w:cnfStyle w:val="000010000000" w:firstRow="0" w:lastRow="0" w:firstColumn="0" w:lastColumn="0" w:oddVBand="1" w:evenVBand="0" w:oddHBand="0" w:evenHBand="0" w:firstRowFirstColumn="0" w:firstRowLastColumn="0" w:lastRowFirstColumn="0" w:lastRowLastColumn="0"/>
            <w:tcW w:w="1260" w:type="dxa"/>
          </w:tcPr>
          <w:p w14:paraId="1BD8A35D" w14:textId="77777777" w:rsidR="006F0C1A" w:rsidRDefault="00E63096" w:rsidP="00857C10">
            <w:pPr>
              <w:jc w:val="center"/>
            </w:pPr>
            <w:r>
              <w:t>12/16</w:t>
            </w:r>
          </w:p>
        </w:tc>
      </w:tr>
      <w:tr w:rsidR="005C1BD2" w14:paraId="1BD8A362" w14:textId="77777777" w:rsidTr="005776F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578" w:type="dxa"/>
          </w:tcPr>
          <w:p w14:paraId="1BD8A35F" w14:textId="77777777" w:rsidR="005C1BD2" w:rsidRDefault="009179B8" w:rsidP="00611BB6">
            <w:pPr>
              <w:tabs>
                <w:tab w:val="num" w:pos="720"/>
              </w:tabs>
            </w:pPr>
            <w:r>
              <w:t xml:space="preserve">References reviewed and updated. </w:t>
            </w:r>
          </w:p>
        </w:tc>
        <w:tc>
          <w:tcPr>
            <w:tcW w:w="810" w:type="dxa"/>
          </w:tcPr>
          <w:p w14:paraId="1BD8A360" w14:textId="77777777" w:rsidR="005C1BD2" w:rsidRDefault="009179B8" w:rsidP="005776FD">
            <w:pPr>
              <w:jc w:val="center"/>
              <w:cnfStyle w:val="000000100000" w:firstRow="0" w:lastRow="0" w:firstColumn="0" w:lastColumn="0" w:oddVBand="0" w:evenVBand="0" w:oddHBand="1" w:evenHBand="0" w:firstRowFirstColumn="0" w:firstRowLastColumn="0" w:lastRowFirstColumn="0" w:lastRowLastColumn="0"/>
            </w:pPr>
            <w:r>
              <w:t>11/17</w:t>
            </w:r>
          </w:p>
        </w:tc>
        <w:tc>
          <w:tcPr>
            <w:cnfStyle w:val="000010000000" w:firstRow="0" w:lastRow="0" w:firstColumn="0" w:lastColumn="0" w:oddVBand="1" w:evenVBand="0" w:oddHBand="0" w:evenHBand="0" w:firstRowFirstColumn="0" w:firstRowLastColumn="0" w:lastRowFirstColumn="0" w:lastRowLastColumn="0"/>
            <w:tcW w:w="1260" w:type="dxa"/>
          </w:tcPr>
          <w:p w14:paraId="1BD8A361" w14:textId="77777777" w:rsidR="005C1BD2" w:rsidRDefault="00AD4145" w:rsidP="00857C10">
            <w:pPr>
              <w:jc w:val="center"/>
            </w:pPr>
            <w:r>
              <w:t>12/17</w:t>
            </w:r>
          </w:p>
        </w:tc>
      </w:tr>
      <w:tr w:rsidR="004250AD" w14:paraId="1BD8A366" w14:textId="77777777" w:rsidTr="005776FD">
        <w:tc>
          <w:tcPr>
            <w:cnfStyle w:val="000010000000" w:firstRow="0" w:lastRow="0" w:firstColumn="0" w:lastColumn="0" w:oddVBand="1" w:evenVBand="0" w:oddHBand="0" w:evenHBand="0" w:firstRowFirstColumn="0" w:firstRowLastColumn="0" w:lastRowFirstColumn="0" w:lastRowLastColumn="0"/>
            <w:tcW w:w="7578" w:type="dxa"/>
          </w:tcPr>
          <w:p w14:paraId="1BD8A363" w14:textId="77777777" w:rsidR="004250AD" w:rsidRPr="001A2F7B" w:rsidRDefault="004250AD" w:rsidP="00C551E9">
            <w:pPr>
              <w:rPr>
                <w:bCs/>
              </w:rPr>
            </w:pPr>
            <w:r>
              <w:t>Added criteria in II</w:t>
            </w:r>
            <w:r w:rsidR="00A04FE7">
              <w:t>I</w:t>
            </w:r>
            <w:r>
              <w:t xml:space="preserve"> stating that BAHA or its components may be replaced if no longer functioning or if a change in the member’s condition necessitates it</w:t>
            </w:r>
            <w:r w:rsidR="00C551E9">
              <w:t xml:space="preserve">. </w:t>
            </w:r>
            <w:r>
              <w:t>Added criteria in I</w:t>
            </w:r>
            <w:r w:rsidR="00A04FE7">
              <w:t>V</w:t>
            </w:r>
            <w:r>
              <w:t xml:space="preserve"> tha</w:t>
            </w:r>
            <w:r w:rsidR="00A04FE7">
              <w:t>t</w:t>
            </w:r>
            <w:r>
              <w:t xml:space="preserve"> a replacement or upgrade simply for convenience or to upgrade to a newer technology is not medically necessary.</w:t>
            </w:r>
            <w:r w:rsidR="001A2F7B">
              <w:t xml:space="preserve"> Added indication for “</w:t>
            </w:r>
            <w:r w:rsidR="001A2F7B" w:rsidRPr="00BF74BA">
              <w:rPr>
                <w:bCs/>
              </w:rPr>
              <w:t>Air-conduction hearing aid ineffective owing to large conductive hearing loss (inadequate gain, uncomfortable occlusion, and feedback effects)</w:t>
            </w:r>
            <w:r w:rsidR="00E00794">
              <w:rPr>
                <w:bCs/>
              </w:rPr>
              <w:t>.</w:t>
            </w:r>
            <w:r w:rsidR="001A2F7B">
              <w:rPr>
                <w:bCs/>
              </w:rPr>
              <w:t>”</w:t>
            </w:r>
            <w:r w:rsidR="00E00794">
              <w:rPr>
                <w:bCs/>
              </w:rPr>
              <w:t xml:space="preserve"> Added </w:t>
            </w:r>
            <w:r w:rsidR="001F06B5">
              <w:rPr>
                <w:bCs/>
              </w:rPr>
              <w:t xml:space="preserve">specific </w:t>
            </w:r>
            <w:r w:rsidR="00E00794">
              <w:rPr>
                <w:bCs/>
              </w:rPr>
              <w:t xml:space="preserve">dB </w:t>
            </w:r>
            <w:r w:rsidR="001F06B5">
              <w:rPr>
                <w:bCs/>
              </w:rPr>
              <w:t xml:space="preserve">threshold </w:t>
            </w:r>
            <w:r w:rsidR="00E00794">
              <w:rPr>
                <w:bCs/>
              </w:rPr>
              <w:t>criteria for BAHA for single-sided deafness</w:t>
            </w:r>
            <w:r w:rsidR="001F06B5">
              <w:rPr>
                <w:bCs/>
              </w:rPr>
              <w:t xml:space="preserve"> and bilateral hearing loss, per 2011 guidelines.</w:t>
            </w:r>
          </w:p>
        </w:tc>
        <w:tc>
          <w:tcPr>
            <w:tcW w:w="810" w:type="dxa"/>
          </w:tcPr>
          <w:p w14:paraId="1BD8A364" w14:textId="77777777" w:rsidR="004250AD" w:rsidRDefault="004250AD" w:rsidP="005776FD">
            <w:pPr>
              <w:jc w:val="center"/>
              <w:cnfStyle w:val="000000000000" w:firstRow="0" w:lastRow="0" w:firstColumn="0" w:lastColumn="0" w:oddVBand="0" w:evenVBand="0" w:oddHBand="0" w:evenHBand="0" w:firstRowFirstColumn="0" w:firstRowLastColumn="0" w:lastRowFirstColumn="0" w:lastRowLastColumn="0"/>
            </w:pPr>
            <w:r>
              <w:t>09/18</w:t>
            </w:r>
          </w:p>
        </w:tc>
        <w:tc>
          <w:tcPr>
            <w:cnfStyle w:val="000010000000" w:firstRow="0" w:lastRow="0" w:firstColumn="0" w:lastColumn="0" w:oddVBand="1" w:evenVBand="0" w:oddHBand="0" w:evenHBand="0" w:firstRowFirstColumn="0" w:firstRowLastColumn="0" w:lastRowFirstColumn="0" w:lastRowLastColumn="0"/>
            <w:tcW w:w="1260" w:type="dxa"/>
          </w:tcPr>
          <w:p w14:paraId="1BD8A365" w14:textId="77777777" w:rsidR="004250AD" w:rsidRDefault="00AE42C8" w:rsidP="00857C10">
            <w:pPr>
              <w:jc w:val="center"/>
            </w:pPr>
            <w:r>
              <w:t>09/18</w:t>
            </w:r>
          </w:p>
        </w:tc>
      </w:tr>
      <w:tr w:rsidR="00C551E9" w14:paraId="1BD8A36A" w14:textId="77777777" w:rsidTr="005776FD">
        <w:trPr>
          <w:cnfStyle w:val="000000100000" w:firstRow="0" w:lastRow="0" w:firstColumn="0" w:lastColumn="0" w:oddVBand="0" w:evenVBand="0" w:oddHBand="1" w:evenHBand="0" w:firstRowFirstColumn="0" w:firstRowLastColumn="0" w:lastRowFirstColumn="0" w:lastRowLastColumn="0"/>
        </w:trPr>
        <w:tc>
          <w:tcPr>
            <w:cnfStyle w:val="000010000000" w:firstRow="0" w:lastRow="0" w:firstColumn="0" w:lastColumn="0" w:oddVBand="1" w:evenVBand="0" w:oddHBand="0" w:evenHBand="0" w:firstRowFirstColumn="0" w:firstRowLastColumn="0" w:lastRowFirstColumn="0" w:lastRowLastColumn="0"/>
            <w:tcW w:w="7578" w:type="dxa"/>
          </w:tcPr>
          <w:p w14:paraId="1BD8A367" w14:textId="77777777" w:rsidR="00C551E9" w:rsidRDefault="00C551E9" w:rsidP="00C551E9">
            <w:r>
              <w:t>Added criteria for sound processor replacement if it is over 5 years old.</w:t>
            </w:r>
          </w:p>
        </w:tc>
        <w:tc>
          <w:tcPr>
            <w:tcW w:w="810" w:type="dxa"/>
          </w:tcPr>
          <w:p w14:paraId="1BD8A368" w14:textId="77777777" w:rsidR="00C551E9" w:rsidRDefault="00C551E9" w:rsidP="005776FD">
            <w:pPr>
              <w:jc w:val="center"/>
              <w:cnfStyle w:val="000000100000" w:firstRow="0" w:lastRow="0" w:firstColumn="0" w:lastColumn="0" w:oddVBand="0" w:evenVBand="0" w:oddHBand="1" w:evenHBand="0" w:firstRowFirstColumn="0" w:firstRowLastColumn="0" w:lastRowFirstColumn="0" w:lastRowLastColumn="0"/>
            </w:pPr>
            <w:r>
              <w:t>10/18</w:t>
            </w:r>
          </w:p>
        </w:tc>
        <w:tc>
          <w:tcPr>
            <w:cnfStyle w:val="000010000000" w:firstRow="0" w:lastRow="0" w:firstColumn="0" w:lastColumn="0" w:oddVBand="1" w:evenVBand="0" w:oddHBand="0" w:evenHBand="0" w:firstRowFirstColumn="0" w:firstRowLastColumn="0" w:lastRowFirstColumn="0" w:lastRowLastColumn="0"/>
            <w:tcW w:w="1260" w:type="dxa"/>
          </w:tcPr>
          <w:p w14:paraId="1BD8A369" w14:textId="77777777" w:rsidR="00C551E9" w:rsidRDefault="00232F85" w:rsidP="00857C10">
            <w:pPr>
              <w:jc w:val="center"/>
            </w:pPr>
            <w:r>
              <w:t>10/18</w:t>
            </w:r>
          </w:p>
        </w:tc>
      </w:tr>
      <w:tr w:rsidR="007072EA" w14:paraId="1A9B6C75" w14:textId="77777777" w:rsidTr="005776FD">
        <w:tc>
          <w:tcPr>
            <w:cnfStyle w:val="000010000000" w:firstRow="0" w:lastRow="0" w:firstColumn="0" w:lastColumn="0" w:oddVBand="1" w:evenVBand="0" w:oddHBand="0" w:evenHBand="0" w:firstRowFirstColumn="0" w:firstRowLastColumn="0" w:lastRowFirstColumn="0" w:lastRowLastColumn="0"/>
            <w:tcW w:w="7578" w:type="dxa"/>
          </w:tcPr>
          <w:p w14:paraId="20A62DA1" w14:textId="46F70DEC" w:rsidR="007072EA" w:rsidRDefault="007072EA" w:rsidP="00C551E9">
            <w:r>
              <w:t>Annual review. Coding check</w:t>
            </w:r>
            <w:r w:rsidR="006E661E">
              <w:t>ed</w:t>
            </w:r>
            <w:r>
              <w:t>.</w:t>
            </w:r>
            <w:r w:rsidR="006E661E">
              <w:t xml:space="preserve">  Diagnosis code H90.0 added.</w:t>
            </w:r>
            <w:r>
              <w:t xml:space="preserve">  References reviewed and updated.</w:t>
            </w:r>
            <w:r w:rsidR="001149BA">
              <w:t xml:space="preserve">  Specialty review completed.</w:t>
            </w:r>
            <w:r w:rsidR="00D25612">
              <w:t xml:space="preserve">  Changed “unilateral” to “single sided” </w:t>
            </w:r>
            <w:r w:rsidR="00C02815">
              <w:t>throughout</w:t>
            </w:r>
            <w:r w:rsidR="00D25612">
              <w:t xml:space="preserve"> the policy.</w:t>
            </w:r>
          </w:p>
        </w:tc>
        <w:tc>
          <w:tcPr>
            <w:tcW w:w="810" w:type="dxa"/>
          </w:tcPr>
          <w:p w14:paraId="22313A3A" w14:textId="05658850" w:rsidR="007072EA" w:rsidRDefault="007072EA" w:rsidP="005776FD">
            <w:pPr>
              <w:jc w:val="center"/>
              <w:cnfStyle w:val="000000000000" w:firstRow="0" w:lastRow="0" w:firstColumn="0" w:lastColumn="0" w:oddVBand="0" w:evenVBand="0" w:oddHBand="0" w:evenHBand="0" w:firstRowFirstColumn="0" w:firstRowLastColumn="0" w:lastRowFirstColumn="0" w:lastRowLastColumn="0"/>
            </w:pPr>
            <w:r>
              <w:t>09/19</w:t>
            </w:r>
          </w:p>
        </w:tc>
        <w:tc>
          <w:tcPr>
            <w:cnfStyle w:val="000010000000" w:firstRow="0" w:lastRow="0" w:firstColumn="0" w:lastColumn="0" w:oddVBand="1" w:evenVBand="0" w:oddHBand="0" w:evenHBand="0" w:firstRowFirstColumn="0" w:firstRowLastColumn="0" w:lastRowFirstColumn="0" w:lastRowLastColumn="0"/>
            <w:tcW w:w="1260" w:type="dxa"/>
          </w:tcPr>
          <w:p w14:paraId="55939A83" w14:textId="18F0054E" w:rsidR="007072EA" w:rsidRDefault="00C02815" w:rsidP="00857C10">
            <w:pPr>
              <w:jc w:val="center"/>
            </w:pPr>
            <w:r>
              <w:t>09/19</w:t>
            </w:r>
          </w:p>
        </w:tc>
      </w:tr>
    </w:tbl>
    <w:p w14:paraId="1BD8A36B" w14:textId="77777777" w:rsidR="002B151A" w:rsidRDefault="002B151A" w:rsidP="00963062">
      <w:pPr>
        <w:pStyle w:val="Heading3"/>
        <w:sectPr w:rsidR="002B151A" w:rsidSect="00480C09">
          <w:type w:val="continuous"/>
          <w:pgSz w:w="12240" w:h="15840" w:code="1"/>
          <w:pgMar w:top="1440" w:right="1440" w:bottom="1440" w:left="1440" w:header="576" w:footer="288" w:gutter="0"/>
          <w:cols w:space="720"/>
          <w:titlePg/>
          <w:docGrid w:linePitch="360"/>
        </w:sectPr>
      </w:pPr>
    </w:p>
    <w:p w14:paraId="1BD8A36C" w14:textId="77777777" w:rsidR="00963062" w:rsidRPr="00B777AF" w:rsidRDefault="00C9696A" w:rsidP="00963062">
      <w:pPr>
        <w:pStyle w:val="Heading3"/>
      </w:pPr>
      <w:r>
        <w:t>References</w:t>
      </w:r>
    </w:p>
    <w:p w14:paraId="1BD8A36D" w14:textId="77777777" w:rsidR="00E63096" w:rsidRDefault="00E63096" w:rsidP="00E63096">
      <w:pPr>
        <w:pStyle w:val="ListParagraph"/>
        <w:numPr>
          <w:ilvl w:val="0"/>
          <w:numId w:val="26"/>
        </w:numPr>
        <w:ind w:left="360"/>
        <w:rPr>
          <w:bCs/>
        </w:rPr>
      </w:pPr>
      <w:r w:rsidRPr="00E63096">
        <w:rPr>
          <w:bCs/>
        </w:rPr>
        <w:t>Blanchfield</w:t>
      </w:r>
      <w:r w:rsidR="00232F85">
        <w:rPr>
          <w:bCs/>
        </w:rPr>
        <w:t xml:space="preserve"> </w:t>
      </w:r>
      <w:r w:rsidRPr="00E63096">
        <w:rPr>
          <w:bCs/>
        </w:rPr>
        <w:t>BB, et. al. (2001). The severely to profoundly hearing-impaired population in the United States: Prevalence estimates and demographics. Journal of the American Academy of Audiology, 12, 183-189.</w:t>
      </w:r>
    </w:p>
    <w:p w14:paraId="1BD8A36E" w14:textId="77777777" w:rsidR="00292E85" w:rsidRPr="00307BF7" w:rsidRDefault="00292E85" w:rsidP="00307BF7">
      <w:pPr>
        <w:pStyle w:val="ListParagraph"/>
        <w:numPr>
          <w:ilvl w:val="0"/>
          <w:numId w:val="26"/>
        </w:numPr>
        <w:ind w:left="360"/>
        <w:rPr>
          <w:bCs/>
        </w:rPr>
      </w:pPr>
      <w:r w:rsidRPr="00307BF7">
        <w:rPr>
          <w:bCs/>
        </w:rPr>
        <w:t xml:space="preserve">Christensen L, et al.  Comparison of traditional bone-conduction hearing aids with the </w:t>
      </w:r>
      <w:r w:rsidR="00146008" w:rsidRPr="00307BF7">
        <w:rPr>
          <w:bCs/>
        </w:rPr>
        <w:t>B</w:t>
      </w:r>
      <w:r w:rsidR="00146008">
        <w:rPr>
          <w:bCs/>
        </w:rPr>
        <w:t>AHA</w:t>
      </w:r>
      <w:r w:rsidR="00146008" w:rsidRPr="00307BF7">
        <w:rPr>
          <w:bCs/>
        </w:rPr>
        <w:t xml:space="preserve"> </w:t>
      </w:r>
      <w:r w:rsidRPr="00307BF7">
        <w:rPr>
          <w:bCs/>
        </w:rPr>
        <w:t>system</w:t>
      </w:r>
      <w:r w:rsidRPr="00C63362">
        <w:rPr>
          <w:bCs/>
        </w:rPr>
        <w:t>.  J Am Acad Audiol</w:t>
      </w:r>
      <w:r w:rsidRPr="00307BF7">
        <w:rPr>
          <w:bCs/>
          <w:i/>
        </w:rPr>
        <w:t xml:space="preserve">. </w:t>
      </w:r>
      <w:r w:rsidRPr="00307BF7">
        <w:rPr>
          <w:bCs/>
        </w:rPr>
        <w:t xml:space="preserve">2010 April;21(4):267-73.  </w:t>
      </w:r>
    </w:p>
    <w:p w14:paraId="1BD8A36F" w14:textId="77777777" w:rsidR="00292E85" w:rsidRPr="00307BF7" w:rsidRDefault="00292E85" w:rsidP="00307BF7">
      <w:pPr>
        <w:pStyle w:val="ListParagraph"/>
        <w:numPr>
          <w:ilvl w:val="0"/>
          <w:numId w:val="26"/>
        </w:numPr>
        <w:ind w:left="360"/>
        <w:rPr>
          <w:bCs/>
        </w:rPr>
      </w:pPr>
      <w:r w:rsidRPr="00307BF7">
        <w:rPr>
          <w:bCs/>
        </w:rPr>
        <w:t xml:space="preserve">Monfared A.  Bone-anchored hearing aids.  Medscape.  </w:t>
      </w:r>
      <w:r w:rsidR="00863398" w:rsidRPr="00307BF7">
        <w:rPr>
          <w:bCs/>
        </w:rPr>
        <w:t>Feb 02</w:t>
      </w:r>
      <w:r w:rsidRPr="00307BF7">
        <w:rPr>
          <w:bCs/>
        </w:rPr>
        <w:t>, 201</w:t>
      </w:r>
      <w:r w:rsidR="00863398" w:rsidRPr="00307BF7">
        <w:rPr>
          <w:bCs/>
        </w:rPr>
        <w:t>6</w:t>
      </w:r>
      <w:r w:rsidRPr="00307BF7">
        <w:rPr>
          <w:bCs/>
        </w:rPr>
        <w:t>.</w:t>
      </w:r>
      <w:r w:rsidR="004250AD">
        <w:rPr>
          <w:bCs/>
        </w:rPr>
        <w:t xml:space="preserve"> Updated Jun 11, 2018.</w:t>
      </w:r>
      <w:r w:rsidRPr="00307BF7">
        <w:rPr>
          <w:bCs/>
        </w:rPr>
        <w:t xml:space="preserve">  </w:t>
      </w:r>
      <w:hyperlink r:id="rId15" w:history="1">
        <w:r w:rsidRPr="00307BF7">
          <w:rPr>
            <w:rStyle w:val="Hyperlink"/>
            <w:bCs/>
          </w:rPr>
          <w:t>http://emedicine.medscape.co</w:t>
        </w:r>
        <w:r w:rsidRPr="00307BF7">
          <w:rPr>
            <w:rStyle w:val="Hyperlink"/>
            <w:bCs/>
          </w:rPr>
          <w:t>m</w:t>
        </w:r>
        <w:r w:rsidRPr="00307BF7">
          <w:rPr>
            <w:rStyle w:val="Hyperlink"/>
            <w:bCs/>
          </w:rPr>
          <w:t>/article/1989565-overview</w:t>
        </w:r>
      </w:hyperlink>
      <w:r w:rsidRPr="00307BF7">
        <w:rPr>
          <w:bCs/>
        </w:rPr>
        <w:t xml:space="preserve"> </w:t>
      </w:r>
    </w:p>
    <w:p w14:paraId="1BD8A370" w14:textId="77777777" w:rsidR="00292E85" w:rsidRPr="00307BF7" w:rsidRDefault="00292E85" w:rsidP="00307BF7">
      <w:pPr>
        <w:pStyle w:val="ListParagraph"/>
        <w:numPr>
          <w:ilvl w:val="0"/>
          <w:numId w:val="26"/>
        </w:numPr>
        <w:ind w:left="360"/>
        <w:rPr>
          <w:bCs/>
        </w:rPr>
      </w:pPr>
      <w:r w:rsidRPr="00307BF7">
        <w:rPr>
          <w:bCs/>
        </w:rPr>
        <w:t>Hagr A.  BAHA: Bone-anchored hearing aid</w:t>
      </w:r>
      <w:r w:rsidRPr="00C63362">
        <w:rPr>
          <w:bCs/>
          <w:i/>
        </w:rPr>
        <w:t xml:space="preserve">.  </w:t>
      </w:r>
      <w:r w:rsidRPr="00C63362">
        <w:rPr>
          <w:bCs/>
        </w:rPr>
        <w:t>Int J Health Sci</w:t>
      </w:r>
      <w:r w:rsidRPr="00307BF7">
        <w:rPr>
          <w:bCs/>
        </w:rPr>
        <w:t xml:space="preserve"> (Qassim), 2007 July; 1(2): 265-276. </w:t>
      </w:r>
    </w:p>
    <w:p w14:paraId="1BD8A371" w14:textId="77777777" w:rsidR="00292E85" w:rsidRPr="00307BF7" w:rsidRDefault="00292E85" w:rsidP="00307BF7">
      <w:pPr>
        <w:pStyle w:val="ListParagraph"/>
        <w:numPr>
          <w:ilvl w:val="0"/>
          <w:numId w:val="26"/>
        </w:numPr>
        <w:ind w:left="360"/>
        <w:rPr>
          <w:bCs/>
        </w:rPr>
      </w:pPr>
      <w:r w:rsidRPr="00307BF7">
        <w:rPr>
          <w:bCs/>
        </w:rPr>
        <w:t xml:space="preserve">Hol MK, et al.  The BAHA Softband.  A new treatment for young children with bilateral congenital aural atresia.  </w:t>
      </w:r>
      <w:r w:rsidRPr="00C63362">
        <w:rPr>
          <w:bCs/>
        </w:rPr>
        <w:t>Int J Pediatr Otorhinolaryngol</w:t>
      </w:r>
      <w:r w:rsidRPr="00307BF7">
        <w:rPr>
          <w:bCs/>
          <w:i/>
        </w:rPr>
        <w:t xml:space="preserve">, </w:t>
      </w:r>
      <w:r w:rsidRPr="00307BF7">
        <w:rPr>
          <w:bCs/>
        </w:rPr>
        <w:t xml:space="preserve">2005 Jul;69(7):973-80.  </w:t>
      </w:r>
    </w:p>
    <w:p w14:paraId="1BD8A372" w14:textId="77777777" w:rsidR="00E63096" w:rsidRDefault="00E63096" w:rsidP="00E63096">
      <w:pPr>
        <w:pStyle w:val="ListParagraph"/>
        <w:numPr>
          <w:ilvl w:val="0"/>
          <w:numId w:val="26"/>
        </w:numPr>
        <w:ind w:left="360"/>
        <w:rPr>
          <w:bCs/>
        </w:rPr>
      </w:pPr>
      <w:r>
        <w:rPr>
          <w:bCs/>
        </w:rPr>
        <w:t xml:space="preserve">Lin FR, Niparko JK, Ferrucci L. Hearing loss prevalence in the United States. </w:t>
      </w:r>
      <w:r w:rsidRPr="00E63096">
        <w:rPr>
          <w:bCs/>
        </w:rPr>
        <w:t>Arch Intern Med. 2011 Nov 14; 171(20): 1851–1852.</w:t>
      </w:r>
      <w:r>
        <w:rPr>
          <w:bCs/>
        </w:rPr>
        <w:t xml:space="preserve"> </w:t>
      </w:r>
      <w:r w:rsidRPr="00E63096">
        <w:rPr>
          <w:bCs/>
        </w:rPr>
        <w:t>doi:  10.1001/archinternmed.2011.506</w:t>
      </w:r>
    </w:p>
    <w:p w14:paraId="1BD8A373" w14:textId="77777777" w:rsidR="00292E85" w:rsidRPr="00307BF7" w:rsidRDefault="00292E85" w:rsidP="00307BF7">
      <w:pPr>
        <w:pStyle w:val="ListParagraph"/>
        <w:numPr>
          <w:ilvl w:val="0"/>
          <w:numId w:val="26"/>
        </w:numPr>
        <w:ind w:left="360"/>
        <w:rPr>
          <w:bCs/>
        </w:rPr>
      </w:pPr>
      <w:r w:rsidRPr="00307BF7">
        <w:rPr>
          <w:bCs/>
        </w:rPr>
        <w:t xml:space="preserve">Shohet JA.  Implantable hearing devices.  Medscape, </w:t>
      </w:r>
      <w:r w:rsidR="00734DC4">
        <w:rPr>
          <w:bCs/>
        </w:rPr>
        <w:t xml:space="preserve">July 14, 2017. </w:t>
      </w:r>
      <w:hyperlink r:id="rId16" w:anchor="showall" w:history="1">
        <w:r w:rsidRPr="00307BF7">
          <w:rPr>
            <w:rStyle w:val="Hyperlink"/>
            <w:bCs/>
          </w:rPr>
          <w:t>http://emedicine.m</w:t>
        </w:r>
        <w:bookmarkStart w:id="2" w:name="_GoBack"/>
        <w:bookmarkEnd w:id="2"/>
        <w:r w:rsidRPr="00307BF7">
          <w:rPr>
            <w:rStyle w:val="Hyperlink"/>
            <w:bCs/>
          </w:rPr>
          <w:t>e</w:t>
        </w:r>
        <w:r w:rsidRPr="00307BF7">
          <w:rPr>
            <w:rStyle w:val="Hyperlink"/>
            <w:bCs/>
          </w:rPr>
          <w:t>dscape.com/article/860444-overview#showall</w:t>
        </w:r>
      </w:hyperlink>
      <w:r w:rsidRPr="00307BF7">
        <w:rPr>
          <w:bCs/>
        </w:rPr>
        <w:t xml:space="preserve"> </w:t>
      </w:r>
    </w:p>
    <w:p w14:paraId="1BD8A374" w14:textId="2566BD0E" w:rsidR="00292E85" w:rsidRPr="00307BF7" w:rsidRDefault="00292E85" w:rsidP="00307BF7">
      <w:pPr>
        <w:pStyle w:val="ListParagraph"/>
        <w:numPr>
          <w:ilvl w:val="0"/>
          <w:numId w:val="26"/>
        </w:numPr>
        <w:ind w:left="360"/>
        <w:rPr>
          <w:bCs/>
        </w:rPr>
      </w:pPr>
      <w:r w:rsidRPr="00307BF7">
        <w:rPr>
          <w:bCs/>
        </w:rPr>
        <w:t>Smith RJH, Gooi A.  Hearing impairment in children: Treatment.  In: UpToDate, Isaacson GC (Ed), UpToDate, Waltham, MA, 2015.</w:t>
      </w:r>
      <w:r w:rsidR="00D17D14" w:rsidRPr="00307BF7">
        <w:rPr>
          <w:bCs/>
        </w:rPr>
        <w:t xml:space="preserve"> Accessed </w:t>
      </w:r>
      <w:r w:rsidR="007072EA">
        <w:rPr>
          <w:bCs/>
        </w:rPr>
        <w:t>August 13, 2019</w:t>
      </w:r>
      <w:r w:rsidR="00484620">
        <w:rPr>
          <w:bCs/>
        </w:rPr>
        <w:t>.</w:t>
      </w:r>
    </w:p>
    <w:p w14:paraId="1BD8A375" w14:textId="716F9388" w:rsidR="001A2F7B" w:rsidRPr="001A2F7B" w:rsidRDefault="00292E85" w:rsidP="00307BF7">
      <w:pPr>
        <w:pStyle w:val="ListParagraph"/>
        <w:numPr>
          <w:ilvl w:val="0"/>
          <w:numId w:val="26"/>
        </w:numPr>
        <w:ind w:left="360"/>
      </w:pPr>
      <w:r w:rsidRPr="00307BF7">
        <w:rPr>
          <w:bCs/>
        </w:rPr>
        <w:t>Weber PC.  Hearing amplification in adults.  In: UpToDate, Deschler DG (Ed), UpToDate, Waltham, MA, 2015</w:t>
      </w:r>
      <w:r w:rsidR="00D17D14" w:rsidRPr="00307BF7">
        <w:rPr>
          <w:bCs/>
        </w:rPr>
        <w:t xml:space="preserve">. </w:t>
      </w:r>
      <w:r w:rsidR="00484620">
        <w:rPr>
          <w:bCs/>
        </w:rPr>
        <w:t xml:space="preserve">Accessed Aug </w:t>
      </w:r>
      <w:r w:rsidR="00BC5BEA">
        <w:rPr>
          <w:bCs/>
        </w:rPr>
        <w:t>16</w:t>
      </w:r>
      <w:r w:rsidR="00484620">
        <w:rPr>
          <w:bCs/>
        </w:rPr>
        <w:t>, 201</w:t>
      </w:r>
      <w:r w:rsidR="00BC5BEA">
        <w:rPr>
          <w:bCs/>
        </w:rPr>
        <w:t>9</w:t>
      </w:r>
      <w:r w:rsidR="00484620">
        <w:rPr>
          <w:bCs/>
        </w:rPr>
        <w:t>8.</w:t>
      </w:r>
    </w:p>
    <w:p w14:paraId="1BD8A376" w14:textId="77777777" w:rsidR="00963062" w:rsidRPr="00963062" w:rsidRDefault="001A2F7B" w:rsidP="001A2F7B">
      <w:pPr>
        <w:pStyle w:val="ListParagraph"/>
        <w:numPr>
          <w:ilvl w:val="0"/>
          <w:numId w:val="26"/>
        </w:numPr>
        <w:ind w:left="360"/>
      </w:pPr>
      <w:r>
        <w:rPr>
          <w:bCs/>
        </w:rPr>
        <w:t>Roman S, Nicollas R, T</w:t>
      </w:r>
      <w:r w:rsidR="00AE42C8">
        <w:rPr>
          <w:bCs/>
        </w:rPr>
        <w:t>r</w:t>
      </w:r>
      <w:r>
        <w:rPr>
          <w:bCs/>
        </w:rPr>
        <w:t xml:space="preserve">iglia JM. </w:t>
      </w:r>
      <w:r w:rsidRPr="002A5C9D">
        <w:rPr>
          <w:bCs/>
        </w:rPr>
        <w:t>Practice guidelines for bone-anchored hearing aids in children</w:t>
      </w:r>
      <w:r>
        <w:rPr>
          <w:bCs/>
        </w:rPr>
        <w:t xml:space="preserve">. </w:t>
      </w:r>
      <w:r w:rsidRPr="001A2F7B">
        <w:rPr>
          <w:bCs/>
        </w:rPr>
        <w:t>Eur Ann Otorhinolaryngol Head Neck Dis. 2011 Nov;128(5):253-8. doi: 10.1016/j.anorl.2011.04.005. Epub 2011 Sep 28.</w:t>
      </w:r>
    </w:p>
    <w:p w14:paraId="1BD8A377" w14:textId="77777777" w:rsidR="00875924" w:rsidRDefault="00875924" w:rsidP="00C75BD4">
      <w:pPr>
        <w:jc w:val="both"/>
        <w:rPr>
          <w:i/>
          <w:iCs/>
        </w:rPr>
      </w:pPr>
    </w:p>
    <w:p w14:paraId="1BD8A378" w14:textId="77777777" w:rsidR="00F93D71" w:rsidRDefault="00F93D71" w:rsidP="00F93D71">
      <w:pPr>
        <w:rPr>
          <w:rFonts w:eastAsiaTheme="minorHAnsi"/>
          <w:b/>
          <w:u w:val="single"/>
        </w:rPr>
      </w:pPr>
      <w:bookmarkStart w:id="3" w:name="Important_Reminder"/>
      <w:r>
        <w:rPr>
          <w:rFonts w:eastAsiaTheme="minorHAnsi"/>
          <w:b/>
          <w:bCs/>
          <w:u w:val="single"/>
        </w:rPr>
        <w:t>Important Reminder</w:t>
      </w:r>
    </w:p>
    <w:bookmarkEnd w:id="3"/>
    <w:p w14:paraId="1BD8A379" w14:textId="77777777" w:rsidR="00F93D71" w:rsidRDefault="00F93D71" w:rsidP="00F93D71">
      <w:pPr>
        <w:rPr>
          <w:rFonts w:eastAsiaTheme="minorHAnsi"/>
        </w:rPr>
      </w:pPr>
      <w:r>
        <w:rPr>
          <w:rFonts w:eastAsiaTheme="minorHAnsi"/>
        </w:rPr>
        <w:lastRenderedPageBreak/>
        <w:t xml:space="preserve">This clinical policy has been developed by appropriately experienced and licensed health care professionals based on a review and consideration of currently available generally accepted standards of medical practice; peer-reviewed medical literature; government agency/program approval status; evidence-based guidelines and positions of leading national health professional organizations; views of physicians practicing in relevant clinical areas affected by this clinical policy; and other available clinical information. </w:t>
      </w:r>
      <w:r>
        <w:rPr>
          <w:rFonts w:eastAsiaTheme="minorHAnsi"/>
          <w:iCs/>
        </w:rPr>
        <w:t>The Health Plan</w:t>
      </w:r>
      <w:r>
        <w:rPr>
          <w:rFonts w:eastAsiaTheme="minorHAnsi"/>
        </w:rPr>
        <w:t xml:space="preserve"> makes no representations and accepts no liability with respect to the content of any external information used or relied upon in developing this clinical policy. This clinical policy is consistent with standards of medical practice current at the time that this clinical policy was approved. “Health Plan” means a health plan that has adopted this clinical policy and that is operated or administered, in whole or in part, by Centene Management Company, LLC, or any of such health plan’s affiliates, as applicable.</w:t>
      </w:r>
    </w:p>
    <w:p w14:paraId="1BD8A37A" w14:textId="77777777" w:rsidR="00F93D71" w:rsidRDefault="00F93D71" w:rsidP="00F93D71">
      <w:pPr>
        <w:rPr>
          <w:rFonts w:eastAsiaTheme="minorHAnsi"/>
        </w:rPr>
      </w:pPr>
    </w:p>
    <w:p w14:paraId="1BD8A37B" w14:textId="77777777" w:rsidR="00F93D71" w:rsidRDefault="00F93D71" w:rsidP="00F93D71">
      <w:pPr>
        <w:rPr>
          <w:rFonts w:eastAsiaTheme="minorHAnsi"/>
        </w:rPr>
      </w:pPr>
      <w:r>
        <w:rPr>
          <w:rFonts w:eastAsiaTheme="minorHAnsi"/>
        </w:rPr>
        <w:t xml:space="preserve">The purpose of this clinical policy is to provide a guide to medical necessity, which is a component of the guidelines used to assist in making coverage decisions and administering benefits. It does not constitute a contract or guarantee regarding payment or results. Coverage decisions and the administration of benefits are subject to all terms, conditions, exclusions and limitations of the coverage documents (e.g., evidence of coverage, certificate of coverage, policy, contract of insurance, etc.), as well as to state and federal requirements and applicable Health Plan-level administrative policies and procedures.   </w:t>
      </w:r>
    </w:p>
    <w:p w14:paraId="1BD8A37C" w14:textId="77777777" w:rsidR="00F93D71" w:rsidRDefault="00F93D71" w:rsidP="00F93D71">
      <w:pPr>
        <w:rPr>
          <w:rFonts w:eastAsiaTheme="minorHAnsi"/>
        </w:rPr>
      </w:pPr>
    </w:p>
    <w:p w14:paraId="1BD8A37D" w14:textId="77777777" w:rsidR="00F93D71" w:rsidRDefault="00F93D71" w:rsidP="00F93D71">
      <w:pPr>
        <w:rPr>
          <w:color w:val="002868"/>
        </w:rPr>
      </w:pPr>
      <w:r>
        <w:rPr>
          <w:rFonts w:eastAsiaTheme="minorHAnsi"/>
        </w:rPr>
        <w:t>This clinical policy is effective as of the date determined by the Health Plan. The date of posting may not be the effective date of this clinical policy. This clinical policy may be subject to applicable legal and regulatory requirements relating to provider notification. If there is a discrepancy between the effective date of this clinical policy and any applicable legal or regulatory requirement, the requirements of law and regulation shall govern. The Health Plan retains the right to change, amend or withdraw this clinical policy, and additional clinical policies may be developed and adopted as needed, at any time.</w:t>
      </w:r>
    </w:p>
    <w:p w14:paraId="1BD8A37E" w14:textId="77777777" w:rsidR="00F93D71" w:rsidRDefault="00F93D71" w:rsidP="00F93D71">
      <w:pPr>
        <w:rPr>
          <w:rFonts w:eastAsiaTheme="minorHAnsi"/>
        </w:rPr>
      </w:pPr>
    </w:p>
    <w:p w14:paraId="1BD8A37F" w14:textId="77777777" w:rsidR="00F93D71" w:rsidRDefault="00F93D71" w:rsidP="00F93D71">
      <w:pPr>
        <w:rPr>
          <w:rFonts w:eastAsiaTheme="minorHAnsi"/>
        </w:rPr>
      </w:pPr>
      <w:r>
        <w:rPr>
          <w:rFonts w:eastAsiaTheme="minorHAnsi"/>
        </w:rPr>
        <w:t xml:space="preserve">This clinical policy does not constitute medical advice, medical treatment or medical care.  It is not intended to dictate to providers how to practice medicine. Providers are expected to exercise professional medical judgment in providing the most appropriate care, and are solely responsible for the medical advice and treatment of members.  This clinical policy is not intended to recommend treatment for members. Members should consult with their treating physician in connection with diagnosis and treatment decisions. </w:t>
      </w:r>
    </w:p>
    <w:p w14:paraId="1BD8A380" w14:textId="77777777" w:rsidR="00F93D71" w:rsidRDefault="00F93D71" w:rsidP="00F93D71">
      <w:pPr>
        <w:rPr>
          <w:rFonts w:eastAsiaTheme="minorHAnsi"/>
        </w:rPr>
      </w:pPr>
    </w:p>
    <w:p w14:paraId="1BD8A381" w14:textId="77777777" w:rsidR="00F93D71" w:rsidRDefault="00F93D71" w:rsidP="00F93D71">
      <w:pPr>
        <w:rPr>
          <w:rFonts w:eastAsiaTheme="minorHAnsi"/>
        </w:rPr>
      </w:pPr>
      <w:r>
        <w:rPr>
          <w:rFonts w:eastAsiaTheme="minorHAnsi"/>
        </w:rPr>
        <w:t>Providers referred to in this clinical policy are independent contractors who exercise independent judgment and over whom the Health Plan has no control or right of control.  Providers are not agents or employees of the Health Plan.</w:t>
      </w:r>
    </w:p>
    <w:p w14:paraId="1BD8A382" w14:textId="77777777" w:rsidR="00F93D71" w:rsidRDefault="00F93D71" w:rsidP="00F93D71">
      <w:pPr>
        <w:rPr>
          <w:rFonts w:eastAsiaTheme="minorHAnsi"/>
        </w:rPr>
      </w:pPr>
    </w:p>
    <w:p w14:paraId="1BD8A383" w14:textId="77777777" w:rsidR="00F93D71" w:rsidRDefault="00F93D71" w:rsidP="00F93D71">
      <w:pPr>
        <w:rPr>
          <w:rFonts w:eastAsiaTheme="minorHAnsi"/>
        </w:rPr>
      </w:pPr>
      <w:r>
        <w:rPr>
          <w:rFonts w:eastAsiaTheme="minorHAnsi"/>
        </w:rPr>
        <w:t xml:space="preserve">This clinical policy is the property of </w:t>
      </w:r>
      <w:r>
        <w:rPr>
          <w:rFonts w:eastAsiaTheme="minorHAnsi"/>
          <w:iCs/>
        </w:rPr>
        <w:t>the Health Plan</w:t>
      </w:r>
      <w:r>
        <w:rPr>
          <w:rFonts w:eastAsiaTheme="minorHAnsi"/>
        </w:rPr>
        <w:t xml:space="preserve">. Unauthorized copying, use, and distribution of this clinical policy or any information contained herein are strictly prohibited.  Providers, members and their representatives are bound to the terms and conditions expressed herein through the terms of their contracts.  Where no such contract exists, providers, members and their representatives agree to be bound by such terms and conditions by providing services to members and/or submitting claims for payment for such services.  </w:t>
      </w:r>
    </w:p>
    <w:p w14:paraId="1BD8A384" w14:textId="77777777" w:rsidR="00F93D71" w:rsidRDefault="00F93D71" w:rsidP="00F93D71">
      <w:pPr>
        <w:autoSpaceDE w:val="0"/>
        <w:autoSpaceDN w:val="0"/>
        <w:adjustRightInd w:val="0"/>
        <w:rPr>
          <w:rFonts w:eastAsiaTheme="minorHAnsi"/>
          <w:color w:val="000000"/>
        </w:rPr>
      </w:pPr>
    </w:p>
    <w:p w14:paraId="1BD8A385" w14:textId="77777777" w:rsidR="00F93D71" w:rsidRDefault="00F93D71" w:rsidP="00F93D71">
      <w:pPr>
        <w:autoSpaceDE w:val="0"/>
        <w:autoSpaceDN w:val="0"/>
        <w:adjustRightInd w:val="0"/>
        <w:rPr>
          <w:rFonts w:eastAsiaTheme="minorHAnsi"/>
          <w:color w:val="000000"/>
        </w:rPr>
      </w:pPr>
      <w:r>
        <w:rPr>
          <w:rFonts w:eastAsiaTheme="minorHAnsi"/>
          <w:b/>
          <w:color w:val="000000"/>
        </w:rPr>
        <w:lastRenderedPageBreak/>
        <w:t>Note: For Medicaid members</w:t>
      </w:r>
      <w:r>
        <w:rPr>
          <w:rFonts w:eastAsiaTheme="minorHAnsi"/>
          <w:color w:val="000000"/>
        </w:rPr>
        <w:t>, when state Medicaid coverage provisions conflict with the coverage provisions in this clinical policy, state Medicaid coverage provisions take precedence. Please refer to the state Medicaid manual for any coverage provisions pertaining to this clinical policy.</w:t>
      </w:r>
    </w:p>
    <w:p w14:paraId="1BD8A386" w14:textId="77777777" w:rsidR="00F93D71" w:rsidRDefault="00F93D71" w:rsidP="00F93D71">
      <w:pPr>
        <w:rPr>
          <w:rFonts w:eastAsiaTheme="minorHAnsi"/>
        </w:rPr>
      </w:pPr>
    </w:p>
    <w:p w14:paraId="1BD8A387" w14:textId="77777777" w:rsidR="00F93D71" w:rsidRDefault="00F93D71" w:rsidP="00F93D71">
      <w:pPr>
        <w:autoSpaceDE w:val="0"/>
        <w:autoSpaceDN w:val="0"/>
        <w:adjustRightInd w:val="0"/>
        <w:rPr>
          <w:color w:val="000000"/>
        </w:rPr>
      </w:pPr>
      <w:r>
        <w:rPr>
          <w:rFonts w:eastAsiaTheme="minorHAnsi"/>
          <w:b/>
          <w:bCs/>
          <w:color w:val="000000"/>
        </w:rPr>
        <w:t xml:space="preserve">Note: For Medicare members, </w:t>
      </w:r>
      <w:r>
        <w:rPr>
          <w:rFonts w:eastAsiaTheme="minorHAnsi"/>
          <w:color w:val="000000"/>
        </w:rPr>
        <w:t xml:space="preserve">to ensure consistency with the Medicare National Coverage Determinations (NCD) and Local Coverage Determinations (LCD), all applicable NCDs, LCDs, and Medicare Coverage Articles should be reviewed </w:t>
      </w:r>
      <w:r>
        <w:rPr>
          <w:rFonts w:eastAsiaTheme="minorHAnsi"/>
          <w:color w:val="000000"/>
          <w:u w:val="single"/>
        </w:rPr>
        <w:t>prior to</w:t>
      </w:r>
      <w:r>
        <w:rPr>
          <w:rFonts w:eastAsiaTheme="minorHAnsi"/>
          <w:color w:val="000000"/>
        </w:rPr>
        <w:t xml:space="preserve"> applying the criteria set forth in this clinical policy. Refer to the CMS website at </w:t>
      </w:r>
      <w:hyperlink r:id="rId17" w:history="1">
        <w:r>
          <w:rPr>
            <w:rStyle w:val="Hyperlink"/>
            <w:rFonts w:eastAsiaTheme="minorHAnsi"/>
            <w:color w:val="000000"/>
          </w:rPr>
          <w:t>http://www.cms.gov</w:t>
        </w:r>
      </w:hyperlink>
      <w:r>
        <w:rPr>
          <w:rFonts w:eastAsiaTheme="minorHAnsi"/>
          <w:color w:val="000000"/>
        </w:rPr>
        <w:t xml:space="preserve"> for additional information.</w:t>
      </w:r>
      <w:r>
        <w:rPr>
          <w:color w:val="000000"/>
        </w:rPr>
        <w:t xml:space="preserve"> </w:t>
      </w:r>
    </w:p>
    <w:p w14:paraId="1BD8A388" w14:textId="77777777" w:rsidR="00F93D71" w:rsidRDefault="00F93D71" w:rsidP="00F93D71">
      <w:pPr>
        <w:rPr>
          <w:iCs/>
        </w:rPr>
      </w:pPr>
    </w:p>
    <w:p w14:paraId="1BD8A389" w14:textId="77777777" w:rsidR="00F93D71" w:rsidRDefault="00F93D71" w:rsidP="00F93D71">
      <w:pPr>
        <w:rPr>
          <w:iCs/>
        </w:rPr>
      </w:pPr>
      <w:r>
        <w:rPr>
          <w:iCs/>
        </w:rPr>
        <w:t>©2016 Centene Corporation. All rights reserved.  All materials are exclusively owned by Centene Corporation and are protected by United States copyright law and international copyright law.  No part of this publication may be reproduced, copied, modified, distributed, displayed, stored in a retrieval system, transmitted in any form or by any means, or otherwise published without the prior written permission of Centene Corporation. You may not alter or remove any trademark, copyright or other notice contained herein. Centene</w:t>
      </w:r>
      <w:r>
        <w:rPr>
          <w:iCs/>
          <w:vertAlign w:val="superscript"/>
        </w:rPr>
        <w:t>®</w:t>
      </w:r>
      <w:r>
        <w:rPr>
          <w:iCs/>
        </w:rPr>
        <w:t xml:space="preserve"> and Centene Corporation</w:t>
      </w:r>
      <w:r>
        <w:rPr>
          <w:iCs/>
          <w:vertAlign w:val="superscript"/>
        </w:rPr>
        <w:t>®</w:t>
      </w:r>
      <w:r>
        <w:rPr>
          <w:iCs/>
        </w:rPr>
        <w:t xml:space="preserve"> are registered trademarks exclusively owned by Centene Corporation.</w:t>
      </w:r>
    </w:p>
    <w:p w14:paraId="1BD8A38A" w14:textId="77777777" w:rsidR="00C75BD4" w:rsidRDefault="00C75BD4" w:rsidP="00AF5490"/>
    <w:sectPr w:rsidR="00C75BD4" w:rsidSect="00480C09">
      <w:type w:val="continuous"/>
      <w:pgSz w:w="12240" w:h="15840" w:code="1"/>
      <w:pgMar w:top="1440" w:right="1440" w:bottom="1440" w:left="1440" w:header="576" w:footer="288"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BD8A38D" w14:textId="77777777" w:rsidR="007361E2" w:rsidRDefault="007361E2">
      <w:r>
        <w:separator/>
      </w:r>
    </w:p>
  </w:endnote>
  <w:endnote w:type="continuationSeparator" w:id="0">
    <w:p w14:paraId="1BD8A38E" w14:textId="77777777" w:rsidR="007361E2" w:rsidRDefault="007361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altName w:val="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AFF" w:usb1="4000ACFF" w:usb2="00000001"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8A391" w14:textId="1DAC7A9D" w:rsidR="00BB35EA" w:rsidRPr="00D574CA" w:rsidRDefault="00BB35EA" w:rsidP="00D574CA">
    <w:pPr>
      <w:pStyle w:val="Footer"/>
      <w:jc w:val="center"/>
    </w:pPr>
    <w:r>
      <w:t xml:space="preserve">Page </w:t>
    </w:r>
    <w:r>
      <w:rPr>
        <w:b/>
        <w:bCs/>
      </w:rPr>
      <w:fldChar w:fldCharType="begin"/>
    </w:r>
    <w:r>
      <w:rPr>
        <w:b/>
        <w:bCs/>
      </w:rPr>
      <w:instrText xml:space="preserve"> PAGE </w:instrText>
    </w:r>
    <w:r>
      <w:rPr>
        <w:b/>
        <w:bCs/>
      </w:rPr>
      <w:fldChar w:fldCharType="separate"/>
    </w:r>
    <w:r w:rsidR="00C02815">
      <w:rPr>
        <w:b/>
        <w:bCs/>
        <w:noProof/>
      </w:rPr>
      <w:t>3</w:t>
    </w:r>
    <w:r>
      <w:rPr>
        <w:b/>
        <w:bCs/>
      </w:rPr>
      <w:fldChar w:fldCharType="end"/>
    </w:r>
    <w:r>
      <w:t xml:space="preserve"> of </w:t>
    </w:r>
    <w:r>
      <w:rPr>
        <w:b/>
        <w:bCs/>
      </w:rPr>
      <w:fldChar w:fldCharType="begin"/>
    </w:r>
    <w:r>
      <w:rPr>
        <w:b/>
        <w:bCs/>
      </w:rPr>
      <w:instrText xml:space="preserve"> NUMPAGES  </w:instrText>
    </w:r>
    <w:r>
      <w:rPr>
        <w:b/>
        <w:bCs/>
      </w:rPr>
      <w:fldChar w:fldCharType="separate"/>
    </w:r>
    <w:r w:rsidR="00C02815">
      <w:rPr>
        <w:b/>
        <w:bCs/>
        <w:noProof/>
      </w:rPr>
      <w:t>6</w:t>
    </w:r>
    <w:r>
      <w:rPr>
        <w:b/>
        <w:bCs/>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8A393" w14:textId="4881C577" w:rsidR="00BB35EA" w:rsidRDefault="00BB35EA" w:rsidP="002C6AAB">
    <w:pPr>
      <w:pStyle w:val="Footer"/>
      <w:jc w:val="center"/>
    </w:pPr>
    <w:r>
      <w:t xml:space="preserve">Page </w:t>
    </w:r>
    <w:r>
      <w:fldChar w:fldCharType="begin"/>
    </w:r>
    <w:r>
      <w:instrText xml:space="preserve"> PAGE   \* MERGEFORMAT </w:instrText>
    </w:r>
    <w:r>
      <w:fldChar w:fldCharType="separate"/>
    </w:r>
    <w:r w:rsidR="00C02815">
      <w:rPr>
        <w:noProof/>
      </w:rPr>
      <w:t>1</w:t>
    </w:r>
    <w:r>
      <w:fldChar w:fldCharType="end"/>
    </w:r>
    <w:r>
      <w:t xml:space="preserve"> of </w:t>
    </w:r>
    <w:r>
      <w:rPr>
        <w:noProof/>
      </w:rPr>
      <w:fldChar w:fldCharType="begin"/>
    </w:r>
    <w:r>
      <w:rPr>
        <w:noProof/>
      </w:rPr>
      <w:instrText xml:space="preserve"> NUMPAGES   \* MERGEFORMAT </w:instrText>
    </w:r>
    <w:r>
      <w:rPr>
        <w:noProof/>
      </w:rPr>
      <w:fldChar w:fldCharType="separate"/>
    </w:r>
    <w:r w:rsidR="00C02815">
      <w:rPr>
        <w:noProof/>
      </w:rPr>
      <w:t>6</w:t>
    </w:r>
    <w:r>
      <w:rPr>
        <w:noProof/>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BD8A38B" w14:textId="77777777" w:rsidR="007361E2" w:rsidRDefault="007361E2">
      <w:r>
        <w:separator/>
      </w:r>
    </w:p>
  </w:footnote>
  <w:footnote w:type="continuationSeparator" w:id="0">
    <w:p w14:paraId="1BD8A38C" w14:textId="77777777" w:rsidR="007361E2" w:rsidRDefault="007361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8A38F" w14:textId="77777777" w:rsidR="00BB35EA" w:rsidRPr="00B777AF" w:rsidRDefault="00BB35EA" w:rsidP="00480C09">
    <w:pPr>
      <w:rPr>
        <w:rFonts w:ascii="Times New Roman Bold" w:hAnsi="Times New Roman Bold"/>
        <w:b/>
        <w:bCs/>
        <w:smallCaps/>
        <w:color w:val="00548C"/>
        <w:sz w:val="28"/>
      </w:rPr>
    </w:pPr>
    <w:r w:rsidRPr="00B777AF">
      <w:rPr>
        <w:rFonts w:ascii="Times New Roman Bold" w:hAnsi="Times New Roman Bold"/>
        <w:b/>
        <w:bCs/>
        <w:smallCaps/>
        <w:color w:val="00548C"/>
        <w:sz w:val="28"/>
      </w:rPr>
      <w:t>Clinical Policy</w:t>
    </w:r>
    <w:r w:rsidRPr="00B777AF">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rFonts w:ascii="Times New Roman Bold" w:hAnsi="Times New Roman Bold"/>
        <w:b/>
        <w:bCs/>
        <w:smallCaps/>
        <w:color w:val="00548C"/>
        <w:sz w:val="28"/>
      </w:rPr>
      <w:tab/>
    </w:r>
    <w:r>
      <w:rPr>
        <w:noProof/>
        <w:color w:val="00548C"/>
      </w:rPr>
      <w:drawing>
        <wp:inline distT="0" distB="0" distL="0" distR="0" wp14:anchorId="1BD8A394" wp14:editId="1BD8A395">
          <wp:extent cx="914400" cy="238125"/>
          <wp:effectExtent l="0" t="0" r="0" b="9525"/>
          <wp:docPr id="1" name="Picture 3" descr="http://intranet/companywidesites/marketing/Corporate%20Marketing%20Materials/Centene%20Corporate%20Logos/Centene%20Color%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intranet/companywidesites/marketing/Corporate%20Marketing%20Materials/Centene%20Corporate%20Logos/Centene%20Color%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14400" cy="238125"/>
                  </a:xfrm>
                  <a:prstGeom prst="rect">
                    <a:avLst/>
                  </a:prstGeom>
                  <a:noFill/>
                  <a:ln>
                    <a:noFill/>
                  </a:ln>
                </pic:spPr>
              </pic:pic>
            </a:graphicData>
          </a:graphic>
        </wp:inline>
      </w:drawing>
    </w:r>
  </w:p>
  <w:p w14:paraId="1BD8A390" w14:textId="77777777" w:rsidR="00BB35EA" w:rsidRPr="00B777AF" w:rsidRDefault="00BB35EA" w:rsidP="00B777AF">
    <w:pPr>
      <w:rPr>
        <w:color w:val="00548C"/>
      </w:rPr>
    </w:pPr>
    <w:r>
      <w:rPr>
        <w:rFonts w:ascii="Times New Roman Bold" w:hAnsi="Times New Roman Bold"/>
        <w:b/>
        <w:bCs/>
        <w:color w:val="00548C"/>
      </w:rPr>
      <w:t>Bone-Anchored Hearing Aid</w:t>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BD8A392" w14:textId="77777777" w:rsidR="00BB35EA" w:rsidRDefault="00BB35EA" w:rsidP="00B777AF">
    <w:pPr>
      <w:pStyle w:val="Header"/>
      <w:jc w:val="right"/>
    </w:pPr>
    <w:r>
      <w:rPr>
        <w:noProof/>
      </w:rPr>
      <w:drawing>
        <wp:inline distT="0" distB="0" distL="0" distR="0" wp14:anchorId="1BD8A396" wp14:editId="1BD8A397">
          <wp:extent cx="1371600" cy="352425"/>
          <wp:effectExtent l="0" t="0" r="0" b="9525"/>
          <wp:docPr id="2" name="Picture 2" descr="http://intranet/companywidesites/marketing/Corporate%20Marketing%20Materials/Centene%20Corporate%20Logos/Centene%20Color%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intranet/companywidesites/marketing/Corporate%20Marketing%20Materials/Centene%20Corporate%20Logos/Centene%20Color%20Logo.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71600" cy="352425"/>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8F5AE7"/>
    <w:multiLevelType w:val="hybridMultilevel"/>
    <w:tmpl w:val="371A41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F8E7697"/>
    <w:multiLevelType w:val="hybridMultilevel"/>
    <w:tmpl w:val="96D856B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1E0E99"/>
    <w:multiLevelType w:val="hybridMultilevel"/>
    <w:tmpl w:val="5FFA82B8"/>
    <w:lvl w:ilvl="0" w:tplc="04090019">
      <w:start w:val="1"/>
      <w:numFmt w:val="lowerLetter"/>
      <w:lvlText w:val="%1."/>
      <w:lvlJc w:val="left"/>
      <w:pPr>
        <w:ind w:left="1440" w:hanging="360"/>
      </w:pPr>
    </w:lvl>
    <w:lvl w:ilvl="1" w:tplc="0409001B">
      <w:start w:val="1"/>
      <w:numFmt w:val="lowerRoman"/>
      <w:lvlText w:val="%2."/>
      <w:lvlJc w:val="right"/>
      <w:pPr>
        <w:ind w:left="2160" w:hanging="360"/>
      </w:pPr>
      <w:rPr>
        <w:rFonts w:hint="default"/>
        <w:sz w:val="20"/>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170E3C54"/>
    <w:multiLevelType w:val="hybridMultilevel"/>
    <w:tmpl w:val="0BF03252"/>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E7A6984"/>
    <w:multiLevelType w:val="hybridMultilevel"/>
    <w:tmpl w:val="387EA7BC"/>
    <w:lvl w:ilvl="0" w:tplc="5C220D9E">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5E500B2"/>
    <w:multiLevelType w:val="hybridMultilevel"/>
    <w:tmpl w:val="CB5AF886"/>
    <w:lvl w:ilvl="0" w:tplc="6CC06064">
      <w:start w:val="1"/>
      <w:numFmt w:val="lowerLetter"/>
      <w:lvlText w:val="%1."/>
      <w:lvlJc w:val="left"/>
      <w:pPr>
        <w:ind w:left="144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26A01436"/>
    <w:multiLevelType w:val="hybridMultilevel"/>
    <w:tmpl w:val="D236E140"/>
    <w:lvl w:ilvl="0" w:tplc="5C220D9E">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6C75F0A"/>
    <w:multiLevelType w:val="hybridMultilevel"/>
    <w:tmpl w:val="D236E140"/>
    <w:lvl w:ilvl="0" w:tplc="5C220D9E">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251B1E"/>
    <w:multiLevelType w:val="hybridMultilevel"/>
    <w:tmpl w:val="B204E92A"/>
    <w:lvl w:ilvl="0" w:tplc="26CA68AC">
      <w:start w:val="1"/>
      <w:numFmt w:val="upperRoman"/>
      <w:lvlText w:val="%1."/>
      <w:lvlJc w:val="left"/>
      <w:pPr>
        <w:ind w:left="720" w:hanging="360"/>
      </w:pPr>
      <w:rPr>
        <w:rFonts w:hint="default"/>
        <w:b/>
      </w:rPr>
    </w:lvl>
    <w:lvl w:ilvl="1" w:tplc="56CC320A">
      <w:start w:val="1"/>
      <w:numFmt w:val="upperLetter"/>
      <w:lvlText w:val="%2."/>
      <w:lvlJc w:val="left"/>
      <w:pPr>
        <w:ind w:left="1440" w:hanging="360"/>
      </w:pPr>
      <w:rPr>
        <w:b/>
      </w:rPr>
    </w:lvl>
    <w:lvl w:ilvl="2" w:tplc="B0D8E88E">
      <w:start w:val="1"/>
      <w:numFmt w:val="decimal"/>
      <w:lvlText w:val="%3."/>
      <w:lvlJc w:val="left"/>
      <w:pPr>
        <w:ind w:left="2160" w:hanging="180"/>
      </w:pPr>
      <w:rPr>
        <w:b/>
      </w:rPr>
    </w:lvl>
    <w:lvl w:ilvl="3" w:tplc="04090019">
      <w:start w:val="1"/>
      <w:numFmt w:val="lowerLetter"/>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AD559B9"/>
    <w:multiLevelType w:val="hybridMultilevel"/>
    <w:tmpl w:val="B226F04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 w15:restartNumberingAfterBreak="0">
    <w:nsid w:val="31497053"/>
    <w:multiLevelType w:val="hybridMultilevel"/>
    <w:tmpl w:val="BE262ED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586063C"/>
    <w:multiLevelType w:val="hybridMultilevel"/>
    <w:tmpl w:val="04382478"/>
    <w:lvl w:ilvl="0" w:tplc="5C220D9E">
      <w:start w:val="1"/>
      <w:numFmt w:val="decimal"/>
      <w:lvlText w:val="%1."/>
      <w:lvlJc w:val="left"/>
      <w:pPr>
        <w:ind w:left="720" w:hanging="360"/>
      </w:pPr>
      <w:rPr>
        <w:rFonts w:hint="default"/>
        <w:b w:val="0"/>
      </w:rPr>
    </w:lvl>
    <w:lvl w:ilvl="1" w:tplc="6CC06064">
      <w:start w:val="1"/>
      <w:numFmt w:val="lowerLetter"/>
      <w:lvlText w:val="%2."/>
      <w:lvlJc w:val="left"/>
      <w:pPr>
        <w:ind w:left="1440" w:hanging="360"/>
      </w:pPr>
      <w:rPr>
        <w:rFonts w:hint="default"/>
        <w:b w:val="0"/>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66B68E6"/>
    <w:multiLevelType w:val="hybridMultilevel"/>
    <w:tmpl w:val="F330294A"/>
    <w:lvl w:ilvl="0" w:tplc="D0FE5CC8">
      <w:start w:val="1"/>
      <w:numFmt w:val="lowerRoman"/>
      <w:lvlText w:val="%1."/>
      <w:lvlJc w:val="left"/>
      <w:pPr>
        <w:ind w:left="3960" w:hanging="360"/>
      </w:pPr>
      <w:rPr>
        <w:rFonts w:hint="default"/>
      </w:rPr>
    </w:lvl>
    <w:lvl w:ilvl="1" w:tplc="04090019" w:tentative="1">
      <w:start w:val="1"/>
      <w:numFmt w:val="lowerLetter"/>
      <w:lvlText w:val="%2."/>
      <w:lvlJc w:val="left"/>
      <w:pPr>
        <w:ind w:left="4680" w:hanging="360"/>
      </w:pPr>
    </w:lvl>
    <w:lvl w:ilvl="2" w:tplc="0409001B" w:tentative="1">
      <w:start w:val="1"/>
      <w:numFmt w:val="lowerRoman"/>
      <w:lvlText w:val="%3."/>
      <w:lvlJc w:val="right"/>
      <w:pPr>
        <w:ind w:left="5400" w:hanging="180"/>
      </w:pPr>
    </w:lvl>
    <w:lvl w:ilvl="3" w:tplc="0409000F" w:tentative="1">
      <w:start w:val="1"/>
      <w:numFmt w:val="decimal"/>
      <w:lvlText w:val="%4."/>
      <w:lvlJc w:val="left"/>
      <w:pPr>
        <w:ind w:left="6120" w:hanging="360"/>
      </w:pPr>
    </w:lvl>
    <w:lvl w:ilvl="4" w:tplc="04090019" w:tentative="1">
      <w:start w:val="1"/>
      <w:numFmt w:val="lowerLetter"/>
      <w:lvlText w:val="%5."/>
      <w:lvlJc w:val="left"/>
      <w:pPr>
        <w:ind w:left="6840" w:hanging="360"/>
      </w:pPr>
    </w:lvl>
    <w:lvl w:ilvl="5" w:tplc="0409001B" w:tentative="1">
      <w:start w:val="1"/>
      <w:numFmt w:val="lowerRoman"/>
      <w:lvlText w:val="%6."/>
      <w:lvlJc w:val="right"/>
      <w:pPr>
        <w:ind w:left="7560" w:hanging="180"/>
      </w:pPr>
    </w:lvl>
    <w:lvl w:ilvl="6" w:tplc="0409000F" w:tentative="1">
      <w:start w:val="1"/>
      <w:numFmt w:val="decimal"/>
      <w:lvlText w:val="%7."/>
      <w:lvlJc w:val="left"/>
      <w:pPr>
        <w:ind w:left="8280" w:hanging="360"/>
      </w:pPr>
    </w:lvl>
    <w:lvl w:ilvl="7" w:tplc="04090019" w:tentative="1">
      <w:start w:val="1"/>
      <w:numFmt w:val="lowerLetter"/>
      <w:lvlText w:val="%8."/>
      <w:lvlJc w:val="left"/>
      <w:pPr>
        <w:ind w:left="9000" w:hanging="360"/>
      </w:pPr>
    </w:lvl>
    <w:lvl w:ilvl="8" w:tplc="0409001B" w:tentative="1">
      <w:start w:val="1"/>
      <w:numFmt w:val="lowerRoman"/>
      <w:lvlText w:val="%9."/>
      <w:lvlJc w:val="right"/>
      <w:pPr>
        <w:ind w:left="9720" w:hanging="180"/>
      </w:pPr>
    </w:lvl>
  </w:abstractNum>
  <w:abstractNum w:abstractNumId="13" w15:restartNumberingAfterBreak="0">
    <w:nsid w:val="3A231C77"/>
    <w:multiLevelType w:val="hybridMultilevel"/>
    <w:tmpl w:val="553682CE"/>
    <w:lvl w:ilvl="0" w:tplc="A244BB9A">
      <w:start w:val="1"/>
      <w:numFmt w:val="upperLetter"/>
      <w:lvlText w:val="%1."/>
      <w:lvlJc w:val="left"/>
      <w:pPr>
        <w:ind w:left="1440" w:hanging="360"/>
      </w:pPr>
      <w:rPr>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E7600FF"/>
    <w:multiLevelType w:val="hybridMultilevel"/>
    <w:tmpl w:val="C876F65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EBE345C"/>
    <w:multiLevelType w:val="hybridMultilevel"/>
    <w:tmpl w:val="387EA7BC"/>
    <w:lvl w:ilvl="0" w:tplc="5C220D9E">
      <w:start w:val="1"/>
      <w:numFmt w:val="decimal"/>
      <w:lvlText w:val="%1."/>
      <w:lvlJc w:val="left"/>
      <w:pPr>
        <w:ind w:left="720" w:hanging="360"/>
      </w:pPr>
      <w:rPr>
        <w:rFonts w:hint="default"/>
        <w:b w:val="0"/>
      </w:rPr>
    </w:lvl>
    <w:lvl w:ilvl="1" w:tplc="04090019">
      <w:start w:val="1"/>
      <w:numFmt w:val="lowerLetter"/>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205058B"/>
    <w:multiLevelType w:val="hybridMultilevel"/>
    <w:tmpl w:val="973EC41A"/>
    <w:lvl w:ilvl="0" w:tplc="0409000F">
      <w:start w:val="1"/>
      <w:numFmt w:val="decimal"/>
      <w:lvlText w:val="%1."/>
      <w:lvlJc w:val="left"/>
      <w:pPr>
        <w:ind w:left="720" w:hanging="360"/>
      </w:pPr>
      <w:rPr>
        <w:rFonts w:hint="default"/>
      </w:rPr>
    </w:lvl>
    <w:lvl w:ilvl="1" w:tplc="0409000F">
      <w:start w:val="1"/>
      <w:numFmt w:val="decimal"/>
      <w:lvlText w:val="%2."/>
      <w:lvlJc w:val="left"/>
      <w:pPr>
        <w:ind w:left="1440" w:hanging="360"/>
      </w:pPr>
      <w:rPr>
        <w:rFont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AF613AE"/>
    <w:multiLevelType w:val="hybridMultilevel"/>
    <w:tmpl w:val="C100B40C"/>
    <w:lvl w:ilvl="0" w:tplc="AEF6C4AA">
      <w:start w:val="1"/>
      <w:numFmt w:val="upperRoman"/>
      <w:lvlText w:val="%1."/>
      <w:lvlJc w:val="left"/>
      <w:pPr>
        <w:ind w:left="1080" w:hanging="720"/>
      </w:pPr>
      <w:rPr>
        <w:rFonts w:cs="Times New Roman" w:hint="default"/>
        <w:b/>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8" w15:restartNumberingAfterBreak="0">
    <w:nsid w:val="54D365D0"/>
    <w:multiLevelType w:val="hybridMultilevel"/>
    <w:tmpl w:val="D55A7940"/>
    <w:lvl w:ilvl="0" w:tplc="F85C9D98">
      <w:start w:val="1"/>
      <w:numFmt w:val="upperLetter"/>
      <w:lvlText w:val="%1."/>
      <w:lvlJc w:val="left"/>
      <w:pPr>
        <w:ind w:left="720" w:hanging="360"/>
      </w:pPr>
      <w:rPr>
        <w:b w:val="0"/>
      </w:r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550746AA"/>
    <w:multiLevelType w:val="hybridMultilevel"/>
    <w:tmpl w:val="7B9A4726"/>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55F26AB1"/>
    <w:multiLevelType w:val="hybridMultilevel"/>
    <w:tmpl w:val="952AD5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1A07A39"/>
    <w:multiLevelType w:val="hybridMultilevel"/>
    <w:tmpl w:val="B3625C76"/>
    <w:lvl w:ilvl="0" w:tplc="B20E67B8">
      <w:start w:val="1"/>
      <w:numFmt w:val="upperLetter"/>
      <w:lvlText w:val="%1."/>
      <w:lvlJc w:val="left"/>
      <w:pPr>
        <w:ind w:left="720" w:hanging="360"/>
      </w:pPr>
      <w:rPr>
        <w:rFonts w:cs="Times New Roman" w:hint="default"/>
        <w:b/>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39C1206"/>
    <w:multiLevelType w:val="hybridMultilevel"/>
    <w:tmpl w:val="228496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9D1434D"/>
    <w:multiLevelType w:val="hybridMultilevel"/>
    <w:tmpl w:val="3806A69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6F600535"/>
    <w:multiLevelType w:val="hybridMultilevel"/>
    <w:tmpl w:val="0A58192A"/>
    <w:lvl w:ilvl="0" w:tplc="04090019">
      <w:start w:val="1"/>
      <w:numFmt w:val="lowerLetter"/>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71285AD1"/>
    <w:multiLevelType w:val="hybridMultilevel"/>
    <w:tmpl w:val="9C0E6D40"/>
    <w:lvl w:ilvl="0" w:tplc="6BAC0802">
      <w:start w:val="1"/>
      <w:numFmt w:val="upperRoman"/>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77F82A73"/>
    <w:multiLevelType w:val="hybridMultilevel"/>
    <w:tmpl w:val="2DC2C3FA"/>
    <w:lvl w:ilvl="0" w:tplc="04090015">
      <w:start w:val="1"/>
      <w:numFmt w:val="upperLetter"/>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1E3D0A"/>
    <w:multiLevelType w:val="hybridMultilevel"/>
    <w:tmpl w:val="EBACAE76"/>
    <w:lvl w:ilvl="0" w:tplc="6BAC0802">
      <w:start w:val="1"/>
      <w:numFmt w:val="upperRoman"/>
      <w:lvlText w:val="%1."/>
      <w:lvlJc w:val="left"/>
      <w:pPr>
        <w:ind w:left="720" w:hanging="360"/>
      </w:pPr>
      <w:rPr>
        <w:rFonts w:hint="default"/>
        <w:b/>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7D3E10B5"/>
    <w:multiLevelType w:val="hybridMultilevel"/>
    <w:tmpl w:val="618CB542"/>
    <w:lvl w:ilvl="0" w:tplc="41745BB8">
      <w:start w:val="1"/>
      <w:numFmt w:val="bullet"/>
      <w:lvlText w:val=""/>
      <w:lvlJc w:val="left"/>
      <w:pPr>
        <w:tabs>
          <w:tab w:val="num" w:pos="720"/>
        </w:tabs>
        <w:ind w:left="720" w:hanging="360"/>
      </w:pPr>
      <w:rPr>
        <w:rFonts w:ascii="Symbol" w:hAnsi="Symbol" w:hint="default"/>
        <w:sz w:val="20"/>
      </w:rPr>
    </w:lvl>
    <w:lvl w:ilvl="1" w:tplc="28DA9A74" w:tentative="1">
      <w:start w:val="1"/>
      <w:numFmt w:val="bullet"/>
      <w:lvlText w:val="o"/>
      <w:lvlJc w:val="left"/>
      <w:pPr>
        <w:tabs>
          <w:tab w:val="num" w:pos="1440"/>
        </w:tabs>
        <w:ind w:left="1440" w:hanging="360"/>
      </w:pPr>
      <w:rPr>
        <w:rFonts w:ascii="Courier New" w:hAnsi="Courier New" w:hint="default"/>
        <w:sz w:val="20"/>
      </w:rPr>
    </w:lvl>
    <w:lvl w:ilvl="2" w:tplc="04F23BE2" w:tentative="1">
      <w:start w:val="1"/>
      <w:numFmt w:val="bullet"/>
      <w:lvlText w:val=""/>
      <w:lvlJc w:val="left"/>
      <w:pPr>
        <w:tabs>
          <w:tab w:val="num" w:pos="2160"/>
        </w:tabs>
        <w:ind w:left="2160" w:hanging="360"/>
      </w:pPr>
      <w:rPr>
        <w:rFonts w:ascii="Wingdings" w:hAnsi="Wingdings" w:hint="default"/>
        <w:sz w:val="20"/>
      </w:rPr>
    </w:lvl>
    <w:lvl w:ilvl="3" w:tplc="B36E250C" w:tentative="1">
      <w:start w:val="1"/>
      <w:numFmt w:val="bullet"/>
      <w:lvlText w:val=""/>
      <w:lvlJc w:val="left"/>
      <w:pPr>
        <w:tabs>
          <w:tab w:val="num" w:pos="2880"/>
        </w:tabs>
        <w:ind w:left="2880" w:hanging="360"/>
      </w:pPr>
      <w:rPr>
        <w:rFonts w:ascii="Wingdings" w:hAnsi="Wingdings" w:hint="default"/>
        <w:sz w:val="20"/>
      </w:rPr>
    </w:lvl>
    <w:lvl w:ilvl="4" w:tplc="A98011B6" w:tentative="1">
      <w:start w:val="1"/>
      <w:numFmt w:val="bullet"/>
      <w:lvlText w:val=""/>
      <w:lvlJc w:val="left"/>
      <w:pPr>
        <w:tabs>
          <w:tab w:val="num" w:pos="3600"/>
        </w:tabs>
        <w:ind w:left="3600" w:hanging="360"/>
      </w:pPr>
      <w:rPr>
        <w:rFonts w:ascii="Wingdings" w:hAnsi="Wingdings" w:hint="default"/>
        <w:sz w:val="20"/>
      </w:rPr>
    </w:lvl>
    <w:lvl w:ilvl="5" w:tplc="B5309476" w:tentative="1">
      <w:start w:val="1"/>
      <w:numFmt w:val="bullet"/>
      <w:lvlText w:val=""/>
      <w:lvlJc w:val="left"/>
      <w:pPr>
        <w:tabs>
          <w:tab w:val="num" w:pos="4320"/>
        </w:tabs>
        <w:ind w:left="4320" w:hanging="360"/>
      </w:pPr>
      <w:rPr>
        <w:rFonts w:ascii="Wingdings" w:hAnsi="Wingdings" w:hint="default"/>
        <w:sz w:val="20"/>
      </w:rPr>
    </w:lvl>
    <w:lvl w:ilvl="6" w:tplc="D5DCFE88" w:tentative="1">
      <w:start w:val="1"/>
      <w:numFmt w:val="bullet"/>
      <w:lvlText w:val=""/>
      <w:lvlJc w:val="left"/>
      <w:pPr>
        <w:tabs>
          <w:tab w:val="num" w:pos="5040"/>
        </w:tabs>
        <w:ind w:left="5040" w:hanging="360"/>
      </w:pPr>
      <w:rPr>
        <w:rFonts w:ascii="Wingdings" w:hAnsi="Wingdings" w:hint="default"/>
        <w:sz w:val="20"/>
      </w:rPr>
    </w:lvl>
    <w:lvl w:ilvl="7" w:tplc="700E33C4" w:tentative="1">
      <w:start w:val="1"/>
      <w:numFmt w:val="bullet"/>
      <w:lvlText w:val=""/>
      <w:lvlJc w:val="left"/>
      <w:pPr>
        <w:tabs>
          <w:tab w:val="num" w:pos="5760"/>
        </w:tabs>
        <w:ind w:left="5760" w:hanging="360"/>
      </w:pPr>
      <w:rPr>
        <w:rFonts w:ascii="Wingdings" w:hAnsi="Wingdings" w:hint="default"/>
        <w:sz w:val="20"/>
      </w:rPr>
    </w:lvl>
    <w:lvl w:ilvl="8" w:tplc="2C6EEB8C" w:tentative="1">
      <w:start w:val="1"/>
      <w:numFmt w:val="bullet"/>
      <w:lvlText w:val=""/>
      <w:lvlJc w:val="left"/>
      <w:pPr>
        <w:tabs>
          <w:tab w:val="num" w:pos="6480"/>
        </w:tabs>
        <w:ind w:left="6480" w:hanging="360"/>
      </w:pPr>
      <w:rPr>
        <w:rFonts w:ascii="Wingdings" w:hAnsi="Wingdings" w:hint="default"/>
        <w:sz w:val="20"/>
      </w:rPr>
    </w:lvl>
  </w:abstractNum>
  <w:num w:numId="1">
    <w:abstractNumId w:val="28"/>
  </w:num>
  <w:num w:numId="2">
    <w:abstractNumId w:val="0"/>
  </w:num>
  <w:num w:numId="3">
    <w:abstractNumId w:val="8"/>
  </w:num>
  <w:num w:numId="4">
    <w:abstractNumId w:val="12"/>
  </w:num>
  <w:num w:numId="5">
    <w:abstractNumId w:val="13"/>
  </w:num>
  <w:num w:numId="6">
    <w:abstractNumId w:val="22"/>
  </w:num>
  <w:num w:numId="7">
    <w:abstractNumId w:val="23"/>
  </w:num>
  <w:num w:numId="8">
    <w:abstractNumId w:val="1"/>
  </w:num>
  <w:num w:numId="9">
    <w:abstractNumId w:val="18"/>
  </w:num>
  <w:num w:numId="10">
    <w:abstractNumId w:val="6"/>
  </w:num>
  <w:num w:numId="11">
    <w:abstractNumId w:val="27"/>
  </w:num>
  <w:num w:numId="12">
    <w:abstractNumId w:val="11"/>
  </w:num>
  <w:num w:numId="13">
    <w:abstractNumId w:val="10"/>
  </w:num>
  <w:num w:numId="14">
    <w:abstractNumId w:val="4"/>
  </w:num>
  <w:num w:numId="15">
    <w:abstractNumId w:val="7"/>
  </w:num>
  <w:num w:numId="16">
    <w:abstractNumId w:val="24"/>
  </w:num>
  <w:num w:numId="17">
    <w:abstractNumId w:val="19"/>
  </w:num>
  <w:num w:numId="18">
    <w:abstractNumId w:val="15"/>
  </w:num>
  <w:num w:numId="19">
    <w:abstractNumId w:val="5"/>
  </w:num>
  <w:num w:numId="20">
    <w:abstractNumId w:val="2"/>
  </w:num>
  <w:num w:numId="21">
    <w:abstractNumId w:val="3"/>
  </w:num>
  <w:num w:numId="22">
    <w:abstractNumId w:val="20"/>
  </w:num>
  <w:num w:numId="23">
    <w:abstractNumId w:val="16"/>
  </w:num>
  <w:num w:numId="24">
    <w:abstractNumId w:val="25"/>
  </w:num>
  <w:num w:numId="25">
    <w:abstractNumId w:val="26"/>
  </w:num>
  <w:num w:numId="26">
    <w:abstractNumId w:val="14"/>
  </w:num>
  <w:num w:numId="27">
    <w:abstractNumId w:val="21"/>
  </w:num>
  <w:num w:numId="28">
    <w:abstractNumId w:val="17"/>
  </w:num>
  <w:num w:numId="2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B1DE9"/>
    <w:rsid w:val="000167E5"/>
    <w:rsid w:val="00021542"/>
    <w:rsid w:val="0003341B"/>
    <w:rsid w:val="000413D1"/>
    <w:rsid w:val="000465DE"/>
    <w:rsid w:val="0004733E"/>
    <w:rsid w:val="00060509"/>
    <w:rsid w:val="000633D2"/>
    <w:rsid w:val="00083740"/>
    <w:rsid w:val="00085638"/>
    <w:rsid w:val="00090C53"/>
    <w:rsid w:val="00093FAF"/>
    <w:rsid w:val="000C43E1"/>
    <w:rsid w:val="000F10C2"/>
    <w:rsid w:val="000F6AE0"/>
    <w:rsid w:val="00110958"/>
    <w:rsid w:val="001149BA"/>
    <w:rsid w:val="00134AEA"/>
    <w:rsid w:val="0014316D"/>
    <w:rsid w:val="00146008"/>
    <w:rsid w:val="00166169"/>
    <w:rsid w:val="00170B14"/>
    <w:rsid w:val="00171CDE"/>
    <w:rsid w:val="001818D7"/>
    <w:rsid w:val="00185104"/>
    <w:rsid w:val="001962BE"/>
    <w:rsid w:val="00196689"/>
    <w:rsid w:val="00196935"/>
    <w:rsid w:val="0019746F"/>
    <w:rsid w:val="001A0069"/>
    <w:rsid w:val="001A2F7B"/>
    <w:rsid w:val="001A4704"/>
    <w:rsid w:val="001C4456"/>
    <w:rsid w:val="001D0D34"/>
    <w:rsid w:val="001D70D4"/>
    <w:rsid w:val="001E7D12"/>
    <w:rsid w:val="001F06B5"/>
    <w:rsid w:val="0020675F"/>
    <w:rsid w:val="00217B5E"/>
    <w:rsid w:val="00220736"/>
    <w:rsid w:val="00230FE4"/>
    <w:rsid w:val="00232F85"/>
    <w:rsid w:val="00233651"/>
    <w:rsid w:val="00254020"/>
    <w:rsid w:val="0025452A"/>
    <w:rsid w:val="0027330D"/>
    <w:rsid w:val="00285997"/>
    <w:rsid w:val="00291D64"/>
    <w:rsid w:val="00292E85"/>
    <w:rsid w:val="002A1E25"/>
    <w:rsid w:val="002A39EE"/>
    <w:rsid w:val="002A5C9D"/>
    <w:rsid w:val="002B151A"/>
    <w:rsid w:val="002C6AAB"/>
    <w:rsid w:val="002D019A"/>
    <w:rsid w:val="002D0657"/>
    <w:rsid w:val="002E48E7"/>
    <w:rsid w:val="00307BF7"/>
    <w:rsid w:val="003140D6"/>
    <w:rsid w:val="00350F22"/>
    <w:rsid w:val="003531A7"/>
    <w:rsid w:val="003840CC"/>
    <w:rsid w:val="003B01B9"/>
    <w:rsid w:val="003D7BE7"/>
    <w:rsid w:val="00406F6C"/>
    <w:rsid w:val="0041586C"/>
    <w:rsid w:val="00421093"/>
    <w:rsid w:val="004250AD"/>
    <w:rsid w:val="00472C6C"/>
    <w:rsid w:val="00480C09"/>
    <w:rsid w:val="00484620"/>
    <w:rsid w:val="00496BCF"/>
    <w:rsid w:val="00497AED"/>
    <w:rsid w:val="004D7274"/>
    <w:rsid w:val="004E0B99"/>
    <w:rsid w:val="004F6394"/>
    <w:rsid w:val="00501910"/>
    <w:rsid w:val="00505830"/>
    <w:rsid w:val="005103B8"/>
    <w:rsid w:val="005423D4"/>
    <w:rsid w:val="005537B0"/>
    <w:rsid w:val="005776FD"/>
    <w:rsid w:val="00583376"/>
    <w:rsid w:val="005C17DF"/>
    <w:rsid w:val="005C1BD2"/>
    <w:rsid w:val="005C3607"/>
    <w:rsid w:val="005D009F"/>
    <w:rsid w:val="005D5146"/>
    <w:rsid w:val="005E411E"/>
    <w:rsid w:val="005F748C"/>
    <w:rsid w:val="00600839"/>
    <w:rsid w:val="00611BB6"/>
    <w:rsid w:val="006474BB"/>
    <w:rsid w:val="00653231"/>
    <w:rsid w:val="006664E9"/>
    <w:rsid w:val="00687A7B"/>
    <w:rsid w:val="006C74DF"/>
    <w:rsid w:val="006E661E"/>
    <w:rsid w:val="006F0C1A"/>
    <w:rsid w:val="006F4D70"/>
    <w:rsid w:val="007072EA"/>
    <w:rsid w:val="00724F83"/>
    <w:rsid w:val="00725E74"/>
    <w:rsid w:val="00734DC4"/>
    <w:rsid w:val="007361E2"/>
    <w:rsid w:val="00744250"/>
    <w:rsid w:val="007505B7"/>
    <w:rsid w:val="007764CE"/>
    <w:rsid w:val="007942AB"/>
    <w:rsid w:val="00794FCD"/>
    <w:rsid w:val="007A0BCC"/>
    <w:rsid w:val="007B07AE"/>
    <w:rsid w:val="007B50D0"/>
    <w:rsid w:val="007C3C0C"/>
    <w:rsid w:val="007C6AD5"/>
    <w:rsid w:val="007D4801"/>
    <w:rsid w:val="007F1F19"/>
    <w:rsid w:val="00820A29"/>
    <w:rsid w:val="008226E9"/>
    <w:rsid w:val="00836C97"/>
    <w:rsid w:val="008403B7"/>
    <w:rsid w:val="008444FA"/>
    <w:rsid w:val="00857C10"/>
    <w:rsid w:val="00863398"/>
    <w:rsid w:val="00875924"/>
    <w:rsid w:val="00877EC7"/>
    <w:rsid w:val="00885CEC"/>
    <w:rsid w:val="00890D50"/>
    <w:rsid w:val="0089290D"/>
    <w:rsid w:val="00896E94"/>
    <w:rsid w:val="008B0705"/>
    <w:rsid w:val="008C6B3A"/>
    <w:rsid w:val="00902C9B"/>
    <w:rsid w:val="009135E0"/>
    <w:rsid w:val="00915CA4"/>
    <w:rsid w:val="009179B8"/>
    <w:rsid w:val="00927BF7"/>
    <w:rsid w:val="00954582"/>
    <w:rsid w:val="00961071"/>
    <w:rsid w:val="00963062"/>
    <w:rsid w:val="0096665E"/>
    <w:rsid w:val="0096678B"/>
    <w:rsid w:val="009735FA"/>
    <w:rsid w:val="00977ECA"/>
    <w:rsid w:val="00982180"/>
    <w:rsid w:val="009928B2"/>
    <w:rsid w:val="00993C68"/>
    <w:rsid w:val="009973AB"/>
    <w:rsid w:val="009B3FE0"/>
    <w:rsid w:val="009C61B2"/>
    <w:rsid w:val="009D5928"/>
    <w:rsid w:val="009E4CE5"/>
    <w:rsid w:val="009E6F29"/>
    <w:rsid w:val="009F2A4D"/>
    <w:rsid w:val="00A04FE7"/>
    <w:rsid w:val="00A15703"/>
    <w:rsid w:val="00A17CB6"/>
    <w:rsid w:val="00A41969"/>
    <w:rsid w:val="00A60413"/>
    <w:rsid w:val="00A65D1F"/>
    <w:rsid w:val="00A7199F"/>
    <w:rsid w:val="00A83658"/>
    <w:rsid w:val="00A85489"/>
    <w:rsid w:val="00A87B1F"/>
    <w:rsid w:val="00A95398"/>
    <w:rsid w:val="00AA336E"/>
    <w:rsid w:val="00AA369F"/>
    <w:rsid w:val="00AA428E"/>
    <w:rsid w:val="00AD1AA6"/>
    <w:rsid w:val="00AD4145"/>
    <w:rsid w:val="00AE42C8"/>
    <w:rsid w:val="00AF1F2A"/>
    <w:rsid w:val="00AF30EF"/>
    <w:rsid w:val="00AF5490"/>
    <w:rsid w:val="00B35102"/>
    <w:rsid w:val="00B44B2C"/>
    <w:rsid w:val="00B4633B"/>
    <w:rsid w:val="00B777AF"/>
    <w:rsid w:val="00B81789"/>
    <w:rsid w:val="00B8447F"/>
    <w:rsid w:val="00B92DF1"/>
    <w:rsid w:val="00BB35EA"/>
    <w:rsid w:val="00BC5BEA"/>
    <w:rsid w:val="00BD3D9C"/>
    <w:rsid w:val="00BE4442"/>
    <w:rsid w:val="00BE6603"/>
    <w:rsid w:val="00BF4150"/>
    <w:rsid w:val="00BF74BA"/>
    <w:rsid w:val="00C02815"/>
    <w:rsid w:val="00C079B0"/>
    <w:rsid w:val="00C14250"/>
    <w:rsid w:val="00C2297C"/>
    <w:rsid w:val="00C4097F"/>
    <w:rsid w:val="00C54D17"/>
    <w:rsid w:val="00C551E9"/>
    <w:rsid w:val="00C63362"/>
    <w:rsid w:val="00C64BB4"/>
    <w:rsid w:val="00C73CF5"/>
    <w:rsid w:val="00C75BD4"/>
    <w:rsid w:val="00C82DD6"/>
    <w:rsid w:val="00C859EC"/>
    <w:rsid w:val="00C96847"/>
    <w:rsid w:val="00C9696A"/>
    <w:rsid w:val="00CA53B9"/>
    <w:rsid w:val="00CA5C08"/>
    <w:rsid w:val="00CF2624"/>
    <w:rsid w:val="00D010FF"/>
    <w:rsid w:val="00D03626"/>
    <w:rsid w:val="00D069A1"/>
    <w:rsid w:val="00D13A8A"/>
    <w:rsid w:val="00D13F6F"/>
    <w:rsid w:val="00D17D14"/>
    <w:rsid w:val="00D25612"/>
    <w:rsid w:val="00D36448"/>
    <w:rsid w:val="00D47574"/>
    <w:rsid w:val="00D574CA"/>
    <w:rsid w:val="00D71BC4"/>
    <w:rsid w:val="00D97183"/>
    <w:rsid w:val="00DB1DE9"/>
    <w:rsid w:val="00DD025A"/>
    <w:rsid w:val="00DD7D7A"/>
    <w:rsid w:val="00DE18E2"/>
    <w:rsid w:val="00DE19A0"/>
    <w:rsid w:val="00DF28E0"/>
    <w:rsid w:val="00E00794"/>
    <w:rsid w:val="00E123A0"/>
    <w:rsid w:val="00E63096"/>
    <w:rsid w:val="00E97C17"/>
    <w:rsid w:val="00EA3809"/>
    <w:rsid w:val="00ED0A0D"/>
    <w:rsid w:val="00EE0091"/>
    <w:rsid w:val="00F03DC0"/>
    <w:rsid w:val="00F2705D"/>
    <w:rsid w:val="00F422E1"/>
    <w:rsid w:val="00F55F2C"/>
    <w:rsid w:val="00F619C7"/>
    <w:rsid w:val="00F71F8E"/>
    <w:rsid w:val="00F74762"/>
    <w:rsid w:val="00F93D71"/>
    <w:rsid w:val="00F95133"/>
    <w:rsid w:val="00FB0592"/>
    <w:rsid w:val="00FB139B"/>
    <w:rsid w:val="00FD5F26"/>
    <w:rsid w:val="00FE290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ecimalSymbol w:val="."/>
  <w:listSeparator w:val=","/>
  <w14:docId w14:val="1BD8A2D1"/>
  <w15:docId w15:val="{3970D321-A68A-4254-8DC9-F05D9352F1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rFonts w:eastAsia="Arial Unicode MS"/>
      <w:b/>
      <w:bCs/>
      <w:sz w:val="20"/>
      <w:szCs w:val="12"/>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outlineLvl w:val="2"/>
    </w:pPr>
    <w:rPr>
      <w:b/>
      <w:bCs/>
    </w:rPr>
  </w:style>
  <w:style w:type="paragraph" w:styleId="Heading4">
    <w:name w:val="heading 4"/>
    <w:basedOn w:val="Normal"/>
    <w:next w:val="Normal"/>
    <w:qFormat/>
    <w:pPr>
      <w:keepNext/>
      <w:jc w:val="center"/>
      <w:outlineLvl w:val="3"/>
    </w:pPr>
    <w:rPr>
      <w:b/>
      <w:bCs/>
    </w:rPr>
  </w:style>
  <w:style w:type="paragraph" w:styleId="Heading5">
    <w:name w:val="heading 5"/>
    <w:basedOn w:val="Normal"/>
    <w:next w:val="Normal"/>
    <w:qFormat/>
    <w:pPr>
      <w:keepNext/>
      <w:outlineLvl w:val="4"/>
    </w:pPr>
    <w:rPr>
      <w:b/>
      <w:szCs w:val="20"/>
    </w:rPr>
  </w:style>
  <w:style w:type="paragraph" w:styleId="Heading6">
    <w:name w:val="heading 6"/>
    <w:basedOn w:val="Normal"/>
    <w:next w:val="Normal"/>
    <w:qFormat/>
    <w:pPr>
      <w:keepNext/>
      <w:tabs>
        <w:tab w:val="num" w:pos="0"/>
      </w:tabs>
      <w:jc w:val="center"/>
      <w:outlineLvl w:val="5"/>
    </w:pPr>
    <w:rPr>
      <w:b/>
      <w:szCs w:val="20"/>
    </w:rPr>
  </w:style>
  <w:style w:type="paragraph" w:styleId="Heading7">
    <w:name w:val="heading 7"/>
    <w:basedOn w:val="Normal"/>
    <w:next w:val="Normal"/>
    <w:qFormat/>
    <w:pPr>
      <w:keepNext/>
      <w:outlineLvl w:val="6"/>
    </w:pPr>
    <w:rPr>
      <w:rFonts w:ascii="Bookman Old Style" w:hAnsi="Bookman Old Style"/>
      <w:b/>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paragraph" w:styleId="Title">
    <w:name w:val="Title"/>
    <w:basedOn w:val="Normal"/>
    <w:qFormat/>
    <w:pPr>
      <w:jc w:val="center"/>
    </w:pPr>
    <w:rPr>
      <w:b/>
      <w:bCs/>
      <w:szCs w:val="20"/>
    </w:rPr>
  </w:style>
  <w:style w:type="character" w:customStyle="1" w:styleId="EmailStyle20">
    <w:name w:val="EmailStyle20"/>
    <w:rPr>
      <w:rFonts w:ascii="Arial" w:hAnsi="Arial" w:cs="Arial"/>
      <w:color w:val="000000"/>
      <w:sz w:val="20"/>
      <w:szCs w:val="20"/>
    </w:rPr>
  </w:style>
  <w:style w:type="paragraph" w:styleId="NormalWeb">
    <w:name w:val="Normal (Web)"/>
    <w:basedOn w:val="Normal"/>
    <w:uiPriority w:val="99"/>
    <w:pPr>
      <w:spacing w:before="100" w:beforeAutospacing="1" w:after="100" w:afterAutospacing="1"/>
    </w:pPr>
    <w:rPr>
      <w:rFonts w:ascii="Arial Unicode MS" w:eastAsia="Arial Unicode MS" w:hAnsi="Arial Unicode MS" w:cs="Arial Unicode MS"/>
    </w:rPr>
  </w:style>
  <w:style w:type="character" w:styleId="Strong">
    <w:name w:val="Strong"/>
    <w:qFormat/>
    <w:rPr>
      <w:b/>
      <w:bCs/>
    </w:rPr>
  </w:style>
  <w:style w:type="character" w:styleId="Hyperlink">
    <w:name w:val="Hyperlink"/>
    <w:rsid w:val="004E0B99"/>
    <w:rPr>
      <w:color w:val="0000FF"/>
      <w:u w:val="single"/>
    </w:rPr>
  </w:style>
  <w:style w:type="character" w:styleId="FollowedHyperlink">
    <w:name w:val="FollowedHyperlink"/>
    <w:rsid w:val="00AF1F2A"/>
    <w:rPr>
      <w:color w:val="800080"/>
      <w:u w:val="single"/>
    </w:rPr>
  </w:style>
  <w:style w:type="paragraph" w:styleId="BalloonText">
    <w:name w:val="Balloon Text"/>
    <w:basedOn w:val="Normal"/>
    <w:semiHidden/>
    <w:rsid w:val="00A87B1F"/>
    <w:rPr>
      <w:rFonts w:ascii="Tahoma" w:hAnsi="Tahoma" w:cs="Tahoma"/>
      <w:sz w:val="16"/>
      <w:szCs w:val="16"/>
    </w:rPr>
  </w:style>
  <w:style w:type="table" w:styleId="TableTheme">
    <w:name w:val="Table Theme"/>
    <w:basedOn w:val="TableNormal"/>
    <w:rsid w:val="00D3644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olicyMainHead">
    <w:name w:val="Policy Main Head"/>
    <w:basedOn w:val="Normal"/>
    <w:rsid w:val="00D574CA"/>
    <w:pPr>
      <w:widowControl w:val="0"/>
      <w:spacing w:after="200" w:line="276" w:lineRule="auto"/>
    </w:pPr>
    <w:rPr>
      <w:rFonts w:ascii="Arial Narrow" w:hAnsi="Arial Narrow"/>
      <w:noProof/>
      <w:color w:val="11406B"/>
      <w:sz w:val="48"/>
      <w:szCs w:val="48"/>
    </w:rPr>
  </w:style>
  <w:style w:type="character" w:customStyle="1" w:styleId="FooterChar">
    <w:name w:val="Footer Char"/>
    <w:link w:val="Footer"/>
    <w:uiPriority w:val="99"/>
    <w:rsid w:val="00D574CA"/>
    <w:rPr>
      <w:sz w:val="24"/>
      <w:szCs w:val="24"/>
    </w:rPr>
  </w:style>
  <w:style w:type="table" w:styleId="LightList-Accent1">
    <w:name w:val="Light List Accent 1"/>
    <w:basedOn w:val="TableNormal"/>
    <w:uiPriority w:val="61"/>
    <w:rsid w:val="005423D4"/>
    <w:tblPr>
      <w:tblStyleRowBandSize w:val="1"/>
      <w:tblStyleColBandSize w:val="1"/>
      <w:tblBorders>
        <w:top w:val="single" w:sz="8" w:space="0" w:color="4F81BD" w:themeColor="accent1"/>
        <w:left w:val="single" w:sz="8" w:space="0" w:color="4F81BD" w:themeColor="accent1"/>
        <w:bottom w:val="single" w:sz="8" w:space="0" w:color="4F81BD" w:themeColor="accent1"/>
        <w:right w:val="single" w:sz="8" w:space="0" w:color="4F81BD" w:themeColor="accent1"/>
      </w:tblBorders>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TableGrid">
    <w:name w:val="Table Grid"/>
    <w:basedOn w:val="TableNormal"/>
    <w:rsid w:val="00B777A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92E85"/>
    <w:pPr>
      <w:ind w:left="720"/>
      <w:contextualSpacing/>
    </w:pPr>
  </w:style>
  <w:style w:type="character" w:styleId="CommentReference">
    <w:name w:val="annotation reference"/>
    <w:basedOn w:val="DefaultParagraphFont"/>
    <w:semiHidden/>
    <w:unhideWhenUsed/>
    <w:rsid w:val="007C6AD5"/>
    <w:rPr>
      <w:sz w:val="16"/>
      <w:szCs w:val="16"/>
    </w:rPr>
  </w:style>
  <w:style w:type="paragraph" w:styleId="CommentText">
    <w:name w:val="annotation text"/>
    <w:basedOn w:val="Normal"/>
    <w:link w:val="CommentTextChar"/>
    <w:semiHidden/>
    <w:unhideWhenUsed/>
    <w:rsid w:val="007C6AD5"/>
    <w:rPr>
      <w:sz w:val="20"/>
      <w:szCs w:val="20"/>
    </w:rPr>
  </w:style>
  <w:style w:type="character" w:customStyle="1" w:styleId="CommentTextChar">
    <w:name w:val="Comment Text Char"/>
    <w:basedOn w:val="DefaultParagraphFont"/>
    <w:link w:val="CommentText"/>
    <w:semiHidden/>
    <w:rsid w:val="007C6AD5"/>
  </w:style>
  <w:style w:type="paragraph" w:styleId="CommentSubject">
    <w:name w:val="annotation subject"/>
    <w:basedOn w:val="CommentText"/>
    <w:next w:val="CommentText"/>
    <w:link w:val="CommentSubjectChar"/>
    <w:semiHidden/>
    <w:unhideWhenUsed/>
    <w:rsid w:val="007C6AD5"/>
    <w:rPr>
      <w:b/>
      <w:bCs/>
    </w:rPr>
  </w:style>
  <w:style w:type="character" w:customStyle="1" w:styleId="CommentSubjectChar">
    <w:name w:val="Comment Subject Char"/>
    <w:basedOn w:val="CommentTextChar"/>
    <w:link w:val="CommentSubject"/>
    <w:semiHidden/>
    <w:rsid w:val="007C6AD5"/>
    <w:rPr>
      <w:b/>
      <w:bCs/>
    </w:rPr>
  </w:style>
  <w:style w:type="paragraph" w:styleId="Revision">
    <w:name w:val="Revision"/>
    <w:hidden/>
    <w:uiPriority w:val="99"/>
    <w:semiHidden/>
    <w:rsid w:val="00BF74B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0348475">
      <w:bodyDiv w:val="1"/>
      <w:marLeft w:val="0"/>
      <w:marRight w:val="0"/>
      <w:marTop w:val="0"/>
      <w:marBottom w:val="0"/>
      <w:divBdr>
        <w:top w:val="none" w:sz="0" w:space="0" w:color="auto"/>
        <w:left w:val="none" w:sz="0" w:space="0" w:color="auto"/>
        <w:bottom w:val="none" w:sz="0" w:space="0" w:color="auto"/>
        <w:right w:val="none" w:sz="0" w:space="0" w:color="auto"/>
      </w:divBdr>
    </w:div>
    <w:div w:id="561142576">
      <w:bodyDiv w:val="1"/>
      <w:marLeft w:val="0"/>
      <w:marRight w:val="0"/>
      <w:marTop w:val="0"/>
      <w:marBottom w:val="0"/>
      <w:divBdr>
        <w:top w:val="none" w:sz="0" w:space="0" w:color="auto"/>
        <w:left w:val="none" w:sz="0" w:space="0" w:color="auto"/>
        <w:bottom w:val="none" w:sz="0" w:space="0" w:color="auto"/>
        <w:right w:val="none" w:sz="0" w:space="0" w:color="auto"/>
      </w:divBdr>
    </w:div>
    <w:div w:id="1124691593">
      <w:bodyDiv w:val="1"/>
      <w:marLeft w:val="0"/>
      <w:marRight w:val="0"/>
      <w:marTop w:val="0"/>
      <w:marBottom w:val="0"/>
      <w:divBdr>
        <w:top w:val="none" w:sz="0" w:space="0" w:color="auto"/>
        <w:left w:val="none" w:sz="0" w:space="0" w:color="auto"/>
        <w:bottom w:val="none" w:sz="0" w:space="0" w:color="auto"/>
        <w:right w:val="none" w:sz="0" w:space="0" w:color="auto"/>
      </w:divBdr>
      <w:divsChild>
        <w:div w:id="421417658">
          <w:marLeft w:val="0"/>
          <w:marRight w:val="0"/>
          <w:marTop w:val="0"/>
          <w:marBottom w:val="0"/>
          <w:divBdr>
            <w:top w:val="none" w:sz="0" w:space="0" w:color="auto"/>
            <w:left w:val="none" w:sz="0" w:space="0" w:color="auto"/>
            <w:bottom w:val="none" w:sz="0" w:space="0" w:color="auto"/>
            <w:right w:val="none" w:sz="0" w:space="0" w:color="auto"/>
          </w:divBdr>
        </w:div>
        <w:div w:id="1452554935">
          <w:marLeft w:val="0"/>
          <w:marRight w:val="0"/>
          <w:marTop w:val="0"/>
          <w:marBottom w:val="0"/>
          <w:divBdr>
            <w:top w:val="none" w:sz="0" w:space="0" w:color="auto"/>
            <w:left w:val="none" w:sz="0" w:space="0" w:color="auto"/>
            <w:bottom w:val="none" w:sz="0" w:space="0" w:color="auto"/>
            <w:right w:val="none" w:sz="0" w:space="0" w:color="auto"/>
          </w:divBdr>
        </w:div>
      </w:divsChild>
    </w:div>
    <w:div w:id="1137530516">
      <w:bodyDiv w:val="1"/>
      <w:marLeft w:val="0"/>
      <w:marRight w:val="0"/>
      <w:marTop w:val="0"/>
      <w:marBottom w:val="0"/>
      <w:divBdr>
        <w:top w:val="none" w:sz="0" w:space="0" w:color="auto"/>
        <w:left w:val="none" w:sz="0" w:space="0" w:color="auto"/>
        <w:bottom w:val="none" w:sz="0" w:space="0" w:color="auto"/>
        <w:right w:val="none" w:sz="0" w:space="0" w:color="auto"/>
      </w:divBdr>
    </w:div>
    <w:div w:id="21145198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hyperlink" Target="http://www.cms.gov" TargetMode="External"/><Relationship Id="rId2" Type="http://schemas.openxmlformats.org/officeDocument/2006/relationships/customXml" Target="../customXml/item2.xml"/><Relationship Id="rId16" Type="http://schemas.openxmlformats.org/officeDocument/2006/relationships/hyperlink" Target="http://emedicine.medscape.com/article/860444-overview"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yperlink" Target="http://emedicine.medscape.com/article/1989565-overview"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B5B39A-B6C9-454C-AC5A-1764007A0D6E}">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3D8EE31B-5609-4684-B73B-90C5EA20F66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BB81CC0F-1C1E-499D-A9D0-BCCE223A5ACE}">
  <ds:schemaRefs>
    <ds:schemaRef ds:uri="http://schemas.microsoft.com/sharepoint/v3/contenttype/forms"/>
  </ds:schemaRefs>
</ds:datastoreItem>
</file>

<file path=customXml/itemProps4.xml><?xml version="1.0" encoding="utf-8"?>
<ds:datastoreItem xmlns:ds="http://schemas.openxmlformats.org/officeDocument/2006/customXml" ds:itemID="{C141677D-3806-4D88-AC2C-5D57A41C50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2225</Words>
  <Characters>13631</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Subject:</vt:lpstr>
    </vt:vector>
  </TitlesOfParts>
  <Company>CENTENE CORPORATION</Company>
  <LinksUpToDate>false</LinksUpToDate>
  <CharactersWithSpaces>15825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Subject:</dc:title>
  <dc:subject/>
  <dc:creator>Centene User</dc:creator>
  <cp:keywords/>
  <dc:description/>
  <cp:lastModifiedBy>Marianne E. Santoro</cp:lastModifiedBy>
  <cp:revision>2</cp:revision>
  <cp:lastPrinted>2019-08-13T20:23:00Z</cp:lastPrinted>
  <dcterms:created xsi:type="dcterms:W3CDTF">2019-09-30T14:51:00Z</dcterms:created>
  <dcterms:modified xsi:type="dcterms:W3CDTF">2019-09-30T14:51:00Z</dcterms:modified>
</cp:coreProperties>
</file>