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F105EA" w14:textId="77777777" w:rsidR="00D574CA" w:rsidRPr="00B777AF" w:rsidRDefault="00230FE4" w:rsidP="00D574CA">
      <w:pPr>
        <w:pStyle w:val="PolicyMainHead"/>
        <w:tabs>
          <w:tab w:val="left" w:pos="360"/>
        </w:tabs>
        <w:spacing w:after="0" w:line="240" w:lineRule="auto"/>
        <w:rPr>
          <w:rFonts w:ascii="Times New Roman" w:hAnsi="Times New Roman"/>
          <w:color w:val="00548C"/>
          <w:sz w:val="36"/>
        </w:rPr>
      </w:pPr>
      <w:r>
        <w:rPr>
          <w:rFonts w:ascii="Times New Roman" w:hAnsi="Times New Roman"/>
          <w:color w:val="00548C"/>
          <w:sz w:val="36"/>
        </w:rPr>
        <w:t xml:space="preserve">Clinical Policy: </w:t>
      </w:r>
      <w:r w:rsidR="001F054E">
        <w:rPr>
          <w:rFonts w:ascii="Times New Roman" w:hAnsi="Times New Roman"/>
          <w:color w:val="00548C"/>
          <w:sz w:val="36"/>
        </w:rPr>
        <w:t>Ambulatory E</w:t>
      </w:r>
      <w:r w:rsidR="009410FB">
        <w:rPr>
          <w:rFonts w:ascii="Times New Roman" w:hAnsi="Times New Roman"/>
          <w:color w:val="00548C"/>
          <w:sz w:val="36"/>
        </w:rPr>
        <w:t>lectroencephalography</w:t>
      </w:r>
    </w:p>
    <w:p w14:paraId="25F105EB" w14:textId="77777777" w:rsidR="00B777AF" w:rsidRDefault="00B777AF" w:rsidP="00D574CA">
      <w:pPr>
        <w:pStyle w:val="PolicyMainHead"/>
        <w:tabs>
          <w:tab w:val="left" w:pos="360"/>
        </w:tabs>
        <w:spacing w:after="0" w:line="240" w:lineRule="auto"/>
        <w:rPr>
          <w:color w:val="00548C"/>
          <w:sz w:val="24"/>
        </w:rPr>
        <w:sectPr w:rsidR="00B777AF" w:rsidSect="00B777AF">
          <w:headerReference w:type="default" r:id="rId10"/>
          <w:footerReference w:type="default" r:id="rId11"/>
          <w:headerReference w:type="first" r:id="rId12"/>
          <w:footerReference w:type="first" r:id="rId13"/>
          <w:pgSz w:w="12240" w:h="15840" w:code="1"/>
          <w:pgMar w:top="1440" w:right="907" w:bottom="1152" w:left="1440" w:header="576" w:footer="288" w:gutter="0"/>
          <w:cols w:space="720"/>
          <w:titlePg/>
          <w:docGrid w:linePitch="360"/>
        </w:sectPr>
      </w:pPr>
    </w:p>
    <w:p w14:paraId="25F105EC" w14:textId="77777777" w:rsidR="00173220" w:rsidRPr="003D7BE7" w:rsidRDefault="00D574CA" w:rsidP="00173220">
      <w:pPr>
        <w:pStyle w:val="PolicyMainHead"/>
        <w:tabs>
          <w:tab w:val="left" w:pos="360"/>
        </w:tabs>
        <w:spacing w:after="0" w:line="240" w:lineRule="auto"/>
        <w:rPr>
          <w:rFonts w:ascii="Times New Roman" w:hAnsi="Times New Roman"/>
          <w:color w:val="00548C"/>
          <w:sz w:val="24"/>
          <w:szCs w:val="24"/>
        </w:rPr>
        <w:sectPr w:rsidR="00173220" w:rsidRPr="003D7BE7" w:rsidSect="00480C09">
          <w:type w:val="continuous"/>
          <w:pgSz w:w="12240" w:h="15840" w:code="1"/>
          <w:pgMar w:top="1440" w:right="1170" w:bottom="1152" w:left="1440" w:header="576" w:footer="288" w:gutter="0"/>
          <w:cols w:num="2" w:space="720"/>
          <w:titlePg/>
          <w:docGrid w:linePitch="360"/>
        </w:sectPr>
      </w:pPr>
      <w:r w:rsidRPr="003D7BE7">
        <w:rPr>
          <w:rFonts w:ascii="Times New Roman" w:hAnsi="Times New Roman"/>
          <w:color w:val="00548C"/>
          <w:sz w:val="24"/>
          <w:szCs w:val="24"/>
        </w:rPr>
        <w:t>Reference Number: CP.</w:t>
      </w:r>
      <w:r w:rsidR="00181DF1">
        <w:rPr>
          <w:rFonts w:ascii="Times New Roman" w:hAnsi="Times New Roman"/>
          <w:color w:val="00548C"/>
          <w:sz w:val="24"/>
          <w:szCs w:val="24"/>
        </w:rPr>
        <w:t>M</w:t>
      </w:r>
      <w:r w:rsidR="001F054E">
        <w:rPr>
          <w:rFonts w:ascii="Times New Roman" w:hAnsi="Times New Roman"/>
          <w:color w:val="00548C"/>
          <w:sz w:val="24"/>
          <w:szCs w:val="24"/>
        </w:rPr>
        <w:t>P.96</w:t>
      </w:r>
      <w:r w:rsidR="00B777AF" w:rsidRPr="003D7BE7">
        <w:rPr>
          <w:rFonts w:ascii="Times New Roman" w:hAnsi="Times New Roman"/>
          <w:color w:val="00548C"/>
          <w:sz w:val="24"/>
          <w:szCs w:val="24"/>
        </w:rPr>
        <w:tab/>
      </w:r>
      <w:r w:rsidR="00B777AF" w:rsidRPr="003D7BE7">
        <w:rPr>
          <w:rFonts w:ascii="Times New Roman" w:hAnsi="Times New Roman"/>
          <w:color w:val="00548C"/>
          <w:sz w:val="24"/>
          <w:szCs w:val="24"/>
        </w:rPr>
        <w:tab/>
      </w:r>
      <w:r w:rsidR="00B777AF" w:rsidRPr="003D7BE7">
        <w:rPr>
          <w:rFonts w:ascii="Times New Roman" w:hAnsi="Times New Roman"/>
          <w:color w:val="00548C"/>
          <w:sz w:val="24"/>
          <w:szCs w:val="24"/>
        </w:rPr>
        <w:tab/>
      </w:r>
      <w:r w:rsidR="00173220">
        <w:rPr>
          <w:rFonts w:ascii="Times New Roman" w:hAnsi="Times New Roman"/>
          <w:color w:val="00548C"/>
          <w:sz w:val="24"/>
          <w:szCs w:val="24"/>
        </w:rPr>
        <w:t xml:space="preserve">         </w:t>
      </w:r>
      <w:r w:rsidR="00B777AF" w:rsidRPr="003D7BE7">
        <w:rPr>
          <w:rFonts w:ascii="Times New Roman" w:hAnsi="Times New Roman"/>
          <w:color w:val="00548C"/>
          <w:sz w:val="24"/>
          <w:szCs w:val="24"/>
        </w:rPr>
        <w:tab/>
      </w:r>
      <w:r w:rsidR="00173220">
        <w:rPr>
          <w:rFonts w:ascii="Times New Roman" w:hAnsi="Times New Roman"/>
          <w:color w:val="00548C"/>
          <w:sz w:val="24"/>
          <w:szCs w:val="24"/>
        </w:rPr>
        <w:t xml:space="preserve">           </w:t>
      </w:r>
      <w:hyperlink w:anchor="Coding_Implications" w:history="1">
        <w:r w:rsidR="00173220" w:rsidRPr="00875924">
          <w:rPr>
            <w:rStyle w:val="Hyperlink"/>
            <w:rFonts w:ascii="Times New Roman" w:hAnsi="Times New Roman"/>
            <w:sz w:val="24"/>
            <w:szCs w:val="24"/>
          </w:rPr>
          <w:t>Coding Implications</w:t>
        </w:r>
      </w:hyperlink>
    </w:p>
    <w:p w14:paraId="25F105ED" w14:textId="58877B36" w:rsidR="00173220" w:rsidRDefault="00173220" w:rsidP="00173220">
      <w:pPr>
        <w:pStyle w:val="PolicyMainHead"/>
        <w:tabs>
          <w:tab w:val="left" w:pos="360"/>
        </w:tabs>
        <w:spacing w:after="0" w:line="240" w:lineRule="auto"/>
        <w:rPr>
          <w:rFonts w:ascii="Times New Roman" w:hAnsi="Times New Roman"/>
          <w:color w:val="00548C"/>
          <w:sz w:val="24"/>
          <w:szCs w:val="24"/>
        </w:rPr>
      </w:pPr>
      <w:r w:rsidRPr="003D7BE7">
        <w:rPr>
          <w:rFonts w:ascii="Times New Roman" w:hAnsi="Times New Roman"/>
          <w:color w:val="00548C"/>
          <w:sz w:val="24"/>
          <w:szCs w:val="24"/>
        </w:rPr>
        <w:t xml:space="preserve">Last Review Date: </w:t>
      </w:r>
      <w:r w:rsidR="00305177">
        <w:rPr>
          <w:rFonts w:ascii="Times New Roman" w:hAnsi="Times New Roman"/>
          <w:color w:val="00548C"/>
          <w:sz w:val="24"/>
          <w:szCs w:val="24"/>
        </w:rPr>
        <w:t>0</w:t>
      </w:r>
      <w:r w:rsidR="00A53885">
        <w:rPr>
          <w:rFonts w:ascii="Times New Roman" w:hAnsi="Times New Roman"/>
          <w:color w:val="00548C"/>
          <w:sz w:val="24"/>
          <w:szCs w:val="24"/>
        </w:rPr>
        <w:t>8</w:t>
      </w:r>
      <w:r w:rsidR="00305177">
        <w:rPr>
          <w:rFonts w:ascii="Times New Roman" w:hAnsi="Times New Roman"/>
          <w:color w:val="00548C"/>
          <w:sz w:val="24"/>
          <w:szCs w:val="24"/>
        </w:rPr>
        <w:t>/19</w:t>
      </w:r>
    </w:p>
    <w:p w14:paraId="25F105EE" w14:textId="77777777" w:rsidR="00173220" w:rsidRDefault="00173220" w:rsidP="00173220">
      <w:pPr>
        <w:pStyle w:val="PolicyMainHead"/>
        <w:tabs>
          <w:tab w:val="left" w:pos="360"/>
        </w:tabs>
        <w:spacing w:after="0" w:line="240" w:lineRule="auto"/>
        <w:jc w:val="center"/>
        <w:rPr>
          <w:rStyle w:val="Strong"/>
          <w:rFonts w:ascii="Times New Roman" w:hAnsi="Times New Roman"/>
          <w:b w:val="0"/>
          <w:bCs w:val="0"/>
          <w:u w:val="single"/>
        </w:rPr>
        <w:sectPr w:rsidR="00173220" w:rsidSect="00875924">
          <w:type w:val="continuous"/>
          <w:pgSz w:w="12240" w:h="15840" w:code="1"/>
          <w:pgMar w:top="1440" w:right="1170" w:bottom="1440" w:left="1440" w:header="576" w:footer="288" w:gutter="0"/>
          <w:cols w:num="2" w:space="720"/>
          <w:titlePg/>
          <w:docGrid w:linePitch="360"/>
        </w:sectPr>
      </w:pPr>
      <w:r>
        <w:t xml:space="preserve">                      </w:t>
      </w:r>
      <w:hyperlink w:anchor="Revision_Log" w:history="1">
        <w:r w:rsidRPr="003D7BE7">
          <w:rPr>
            <w:rStyle w:val="Hyperlink"/>
            <w:rFonts w:ascii="Times New Roman" w:hAnsi="Times New Roman"/>
            <w:sz w:val="24"/>
            <w:szCs w:val="24"/>
          </w:rPr>
          <w:t>Revision Log</w:t>
        </w:r>
      </w:hyperlink>
      <w:r>
        <w:rPr>
          <w:rFonts w:ascii="Times New Roman" w:hAnsi="Times New Roman"/>
          <w:color w:val="00548C"/>
          <w:sz w:val="24"/>
          <w:szCs w:val="24"/>
        </w:rPr>
        <w:t xml:space="preserve"> </w:t>
      </w:r>
    </w:p>
    <w:p w14:paraId="25F105EF" w14:textId="77777777" w:rsidR="00480C09" w:rsidRPr="003D7BE7" w:rsidRDefault="00480C09" w:rsidP="00173220">
      <w:pPr>
        <w:pStyle w:val="PolicyMainHead"/>
        <w:tabs>
          <w:tab w:val="left" w:pos="360"/>
        </w:tabs>
        <w:spacing w:after="0" w:line="240" w:lineRule="auto"/>
        <w:rPr>
          <w:rFonts w:ascii="Times New Roman" w:hAnsi="Times New Roman"/>
          <w:color w:val="00548C"/>
          <w:sz w:val="24"/>
          <w:szCs w:val="24"/>
        </w:rPr>
        <w:sectPr w:rsidR="00480C09" w:rsidRPr="003D7BE7" w:rsidSect="00480C09">
          <w:type w:val="continuous"/>
          <w:pgSz w:w="12240" w:h="15840" w:code="1"/>
          <w:pgMar w:top="1440" w:right="1170" w:bottom="1152" w:left="1440" w:header="576" w:footer="288" w:gutter="0"/>
          <w:cols w:num="2" w:space="720"/>
          <w:titlePg/>
          <w:docGrid w:linePitch="360"/>
        </w:sectPr>
      </w:pPr>
    </w:p>
    <w:p w14:paraId="25F105F0" w14:textId="77777777" w:rsidR="00C73CF5" w:rsidRPr="00504F77" w:rsidRDefault="00504F77" w:rsidP="00504F77">
      <w:pPr>
        <w:pStyle w:val="NormalWeb"/>
        <w:spacing w:before="0" w:beforeAutospacing="0" w:after="0" w:afterAutospacing="0"/>
        <w:rPr>
          <w:rStyle w:val="Strong"/>
          <w:rFonts w:ascii="Times New Roman" w:hAnsi="Times New Roman" w:cs="Times New Roman"/>
          <w:b w:val="0"/>
          <w:bCs w:val="0"/>
          <w:color w:val="00548C"/>
          <w:u w:val="single"/>
        </w:rPr>
      </w:pPr>
      <w:r w:rsidRPr="005D7B81">
        <w:rPr>
          <w:rFonts w:ascii="Times New Roman" w:hAnsi="Times New Roman" w:cs="Times New Roman"/>
          <w:b/>
          <w:color w:val="00548C"/>
        </w:rPr>
        <w:t xml:space="preserve">See </w:t>
      </w:r>
      <w:hyperlink w:anchor="Important_Reminder" w:history="1">
        <w:r w:rsidRPr="005D7B81">
          <w:rPr>
            <w:rStyle w:val="Hyperlink"/>
            <w:rFonts w:ascii="Times New Roman" w:eastAsia="Times New Roman" w:hAnsi="Times New Roman" w:cs="Times New Roman"/>
            <w:noProof/>
          </w:rPr>
          <w:t>Important Reminder</w:t>
        </w:r>
      </w:hyperlink>
      <w:r w:rsidRPr="005D7B81">
        <w:rPr>
          <w:rFonts w:ascii="Times New Roman" w:hAnsi="Times New Roman" w:cs="Times New Roman"/>
          <w:b/>
          <w:color w:val="00548C"/>
        </w:rPr>
        <w:t xml:space="preserve"> at the end of th</w:t>
      </w:r>
      <w:r>
        <w:rPr>
          <w:rFonts w:ascii="Times New Roman" w:hAnsi="Times New Roman" w:cs="Times New Roman"/>
          <w:b/>
          <w:color w:val="00548C"/>
        </w:rPr>
        <w:t>is</w:t>
      </w:r>
      <w:r w:rsidRPr="005D7B81">
        <w:rPr>
          <w:rFonts w:ascii="Times New Roman" w:hAnsi="Times New Roman" w:cs="Times New Roman"/>
          <w:b/>
          <w:color w:val="00548C"/>
        </w:rPr>
        <w:t xml:space="preserve"> policy for</w:t>
      </w:r>
      <w:r>
        <w:rPr>
          <w:rFonts w:ascii="Times New Roman" w:hAnsi="Times New Roman" w:cs="Times New Roman"/>
          <w:b/>
          <w:color w:val="00548C"/>
        </w:rPr>
        <w:t xml:space="preserve"> important</w:t>
      </w:r>
      <w:r w:rsidRPr="005D7B81">
        <w:rPr>
          <w:rFonts w:ascii="Times New Roman" w:hAnsi="Times New Roman" w:cs="Times New Roman"/>
          <w:b/>
          <w:color w:val="00548C"/>
        </w:rPr>
        <w:t xml:space="preserve"> regulatory and legal information</w:t>
      </w:r>
      <w:r>
        <w:rPr>
          <w:rFonts w:ascii="Times New Roman" w:hAnsi="Times New Roman" w:cs="Times New Roman"/>
          <w:b/>
          <w:color w:val="00548C"/>
        </w:rPr>
        <w:t>.</w:t>
      </w:r>
    </w:p>
    <w:p w14:paraId="25F105F1" w14:textId="77777777" w:rsidR="00504F77" w:rsidRPr="00504F77" w:rsidRDefault="00504F77" w:rsidP="00504F77">
      <w:pPr>
        <w:pStyle w:val="NormalWeb"/>
        <w:spacing w:before="0" w:beforeAutospacing="0" w:after="0" w:afterAutospacing="0"/>
        <w:rPr>
          <w:rStyle w:val="Strong"/>
          <w:rFonts w:ascii="Times New Roman" w:hAnsi="Times New Roman" w:cs="Times New Roman"/>
          <w:b w:val="0"/>
          <w:bCs w:val="0"/>
        </w:rPr>
      </w:pPr>
    </w:p>
    <w:p w14:paraId="25F105F2" w14:textId="77777777" w:rsidR="00583376" w:rsidRPr="00590EBF" w:rsidRDefault="00583376" w:rsidP="00590EBF">
      <w:pPr>
        <w:pStyle w:val="Heading1"/>
      </w:pPr>
      <w:r w:rsidRPr="00590EBF">
        <w:rPr>
          <w:sz w:val="24"/>
        </w:rPr>
        <w:t xml:space="preserve">Description </w:t>
      </w:r>
    </w:p>
    <w:p w14:paraId="25F105F3" w14:textId="484029A6" w:rsidR="00ED0A0D" w:rsidRPr="000E7DFD" w:rsidRDefault="001F054E" w:rsidP="001F054E">
      <w:pPr>
        <w:rPr>
          <w:color w:val="FF0000"/>
        </w:rPr>
      </w:pPr>
      <w:r w:rsidRPr="001F054E">
        <w:t>Ambulatory electroencephalogram</w:t>
      </w:r>
      <w:r w:rsidR="00C409A4">
        <w:t xml:space="preserve"> (EEG)</w:t>
      </w:r>
      <w:r w:rsidRPr="001F054E">
        <w:t xml:space="preserve"> testing in the outpatient setting (</w:t>
      </w:r>
      <w:r w:rsidRPr="001F054E">
        <w:rPr>
          <w:i/>
        </w:rPr>
        <w:t xml:space="preserve">e.g., </w:t>
      </w:r>
      <w:r w:rsidRPr="001F054E">
        <w:t xml:space="preserve">at home) is a diagnostic test used to evaluate an individual in whom a seizure disorder </w:t>
      </w:r>
      <w:r w:rsidR="00D43D0D" w:rsidRPr="00F81EA2">
        <w:t>or possibly nonepileptic attacks are</w:t>
      </w:r>
      <w:r w:rsidRPr="001F054E">
        <w:t xml:space="preserve"> suspected but not conclusively confirmed by the person's medical history, physical examination, and a previous routine or standard (awake and asleep) EEG.</w:t>
      </w:r>
      <w:r w:rsidR="004F0B78">
        <w:t xml:space="preserve">  </w:t>
      </w:r>
      <w:r w:rsidR="004F0B78" w:rsidRPr="00F81EA2">
        <w:t>Ambulatory EE</w:t>
      </w:r>
      <w:r w:rsidR="0077695C" w:rsidRPr="00F81EA2">
        <w:t>G monitoring allows extended</w:t>
      </w:r>
      <w:r w:rsidR="004F0B78" w:rsidRPr="00F81EA2">
        <w:t xml:space="preserve"> interictal </w:t>
      </w:r>
      <w:r w:rsidR="0077695C" w:rsidRPr="00F81EA2">
        <w:t xml:space="preserve">EEG </w:t>
      </w:r>
      <w:r w:rsidR="004F0B78" w:rsidRPr="00F81EA2">
        <w:t>recording outside of a clinic or a hospital and can allow patients to “mark” events experienced</w:t>
      </w:r>
      <w:r w:rsidR="0077695C" w:rsidRPr="00F81EA2">
        <w:t xml:space="preserve"> on the EEG recording</w:t>
      </w:r>
      <w:r w:rsidR="004F0B78" w:rsidRPr="00F81EA2">
        <w:t>.</w:t>
      </w:r>
    </w:p>
    <w:p w14:paraId="25F105F4" w14:textId="77777777" w:rsidR="00ED0A0D" w:rsidRPr="003E5E4D" w:rsidRDefault="00ED0A0D" w:rsidP="00196935"/>
    <w:p w14:paraId="25F105F5" w14:textId="77777777" w:rsidR="00583376" w:rsidRPr="003E5E4D" w:rsidRDefault="00583376">
      <w:pPr>
        <w:pStyle w:val="Heading2"/>
        <w:rPr>
          <w:u w:val="none"/>
        </w:rPr>
      </w:pPr>
      <w:r w:rsidRPr="003E5E4D">
        <w:rPr>
          <w:u w:val="none"/>
        </w:rPr>
        <w:t>Policy/Criteria</w:t>
      </w:r>
    </w:p>
    <w:p w14:paraId="25F105F6" w14:textId="77777777" w:rsidR="00C409A4" w:rsidRPr="003E5E4D" w:rsidRDefault="00F74762" w:rsidP="00C409A4">
      <w:pPr>
        <w:numPr>
          <w:ilvl w:val="0"/>
          <w:numId w:val="12"/>
        </w:numPr>
        <w:ind w:left="360"/>
        <w:rPr>
          <w:szCs w:val="19"/>
          <w:shd w:val="clear" w:color="auto" w:fill="FFFFFF"/>
        </w:rPr>
      </w:pPr>
      <w:r w:rsidRPr="003E5E4D">
        <w:rPr>
          <w:bCs/>
          <w:color w:val="000000"/>
        </w:rPr>
        <w:t>It is the policy of</w:t>
      </w:r>
      <w:r w:rsidR="00E97C17" w:rsidRPr="003E5E4D">
        <w:rPr>
          <w:bCs/>
          <w:color w:val="000000"/>
        </w:rPr>
        <w:t xml:space="preserve"> </w:t>
      </w:r>
      <w:r w:rsidR="00A83658" w:rsidRPr="003E5E4D">
        <w:rPr>
          <w:bCs/>
          <w:color w:val="000000"/>
        </w:rPr>
        <w:t>h</w:t>
      </w:r>
      <w:r w:rsidR="00E97C17" w:rsidRPr="003E5E4D">
        <w:rPr>
          <w:bCs/>
          <w:color w:val="000000"/>
        </w:rPr>
        <w:t xml:space="preserve">ealth </w:t>
      </w:r>
      <w:r w:rsidR="00A83658" w:rsidRPr="003E5E4D">
        <w:rPr>
          <w:bCs/>
          <w:color w:val="000000"/>
        </w:rPr>
        <w:t>p</w:t>
      </w:r>
      <w:r w:rsidR="00E97C17" w:rsidRPr="003E5E4D">
        <w:rPr>
          <w:bCs/>
          <w:color w:val="000000"/>
        </w:rPr>
        <w:t>lans affiliated with</w:t>
      </w:r>
      <w:r w:rsidRPr="003E5E4D">
        <w:rPr>
          <w:bCs/>
          <w:color w:val="000000"/>
        </w:rPr>
        <w:t xml:space="preserve"> Centene Corporation</w:t>
      </w:r>
      <w:r w:rsidR="00C75BD4" w:rsidRPr="003E5E4D">
        <w:rPr>
          <w:bCs/>
          <w:color w:val="000000"/>
          <w:vertAlign w:val="superscript"/>
        </w:rPr>
        <w:t>®</w:t>
      </w:r>
      <w:r w:rsidRPr="003E5E4D">
        <w:rPr>
          <w:bCs/>
          <w:color w:val="000000"/>
        </w:rPr>
        <w:t xml:space="preserve"> that </w:t>
      </w:r>
      <w:r w:rsidR="00C409A4" w:rsidRPr="003E5E4D">
        <w:rPr>
          <w:bCs/>
          <w:color w:val="000000"/>
        </w:rPr>
        <w:t>ambulatory EEG</w:t>
      </w:r>
      <w:r w:rsidRPr="003E5E4D">
        <w:rPr>
          <w:bCs/>
          <w:color w:val="000000"/>
        </w:rPr>
        <w:t xml:space="preserve"> is </w:t>
      </w:r>
      <w:r w:rsidRPr="003E5E4D">
        <w:rPr>
          <w:b/>
          <w:bCs/>
          <w:color w:val="000000"/>
        </w:rPr>
        <w:t>medically necessary</w:t>
      </w:r>
      <w:r w:rsidRPr="003E5E4D">
        <w:rPr>
          <w:bCs/>
          <w:color w:val="000000"/>
        </w:rPr>
        <w:t xml:space="preserve"> </w:t>
      </w:r>
      <w:r w:rsidR="00C409A4" w:rsidRPr="003E5E4D">
        <w:rPr>
          <w:szCs w:val="19"/>
          <w:shd w:val="clear" w:color="auto" w:fill="FFFFFF"/>
        </w:rPr>
        <w:t>following an inconclusive or nondiagnostic standard (awake and asleep) EEG for any of the following indications:</w:t>
      </w:r>
    </w:p>
    <w:p w14:paraId="25F105F7" w14:textId="77777777" w:rsidR="00C409A4" w:rsidRPr="003E5E4D" w:rsidRDefault="00C409A4" w:rsidP="00C409A4">
      <w:pPr>
        <w:pStyle w:val="ListParagraph"/>
        <w:numPr>
          <w:ilvl w:val="0"/>
          <w:numId w:val="10"/>
        </w:numPr>
        <w:spacing w:after="0" w:line="240" w:lineRule="auto"/>
        <w:rPr>
          <w:rFonts w:ascii="Times New Roman" w:hAnsi="Times New Roman"/>
          <w:sz w:val="24"/>
          <w:szCs w:val="19"/>
          <w:shd w:val="clear" w:color="auto" w:fill="FFFFFF"/>
        </w:rPr>
      </w:pPr>
      <w:r w:rsidRPr="003E5E4D">
        <w:rPr>
          <w:rFonts w:ascii="Times New Roman" w:hAnsi="Times New Roman"/>
          <w:sz w:val="24"/>
          <w:szCs w:val="19"/>
          <w:shd w:val="clear" w:color="auto" w:fill="FFFFFF"/>
        </w:rPr>
        <w:t>To investigate episodic events where epilepsy is suspected but the history, examination, and routine EEG do not resolve the diagnostic uncertainties;</w:t>
      </w:r>
    </w:p>
    <w:p w14:paraId="25F105F8" w14:textId="745D785E" w:rsidR="00C409A4" w:rsidRPr="003E5E4D" w:rsidRDefault="00C409A4" w:rsidP="00C409A4">
      <w:pPr>
        <w:pStyle w:val="ListParagraph"/>
        <w:numPr>
          <w:ilvl w:val="0"/>
          <w:numId w:val="10"/>
        </w:numPr>
        <w:spacing w:after="0" w:line="240" w:lineRule="auto"/>
        <w:rPr>
          <w:rFonts w:ascii="Times New Roman" w:hAnsi="Times New Roman"/>
          <w:sz w:val="24"/>
          <w:szCs w:val="19"/>
          <w:shd w:val="clear" w:color="auto" w:fill="FFFFFF"/>
        </w:rPr>
      </w:pPr>
      <w:r w:rsidRPr="003E5E4D">
        <w:rPr>
          <w:rFonts w:ascii="Times New Roman" w:hAnsi="Times New Roman"/>
          <w:sz w:val="24"/>
          <w:szCs w:val="19"/>
          <w:shd w:val="clear" w:color="auto" w:fill="FFFFFF"/>
        </w:rPr>
        <w:t>To confirm epilepsy in those individuals experiencing suspected nonepileptic events</w:t>
      </w:r>
      <w:r w:rsidR="00F81EA2">
        <w:rPr>
          <w:rFonts w:ascii="Times New Roman" w:hAnsi="Times New Roman"/>
          <w:sz w:val="24"/>
          <w:szCs w:val="19"/>
          <w:shd w:val="clear" w:color="auto" w:fill="FFFFFF"/>
        </w:rPr>
        <w:t>;</w:t>
      </w:r>
    </w:p>
    <w:p w14:paraId="25F105F9" w14:textId="52176448" w:rsidR="00C409A4" w:rsidRPr="003E5E4D" w:rsidRDefault="00C409A4" w:rsidP="00C409A4">
      <w:pPr>
        <w:pStyle w:val="ListParagraph"/>
        <w:numPr>
          <w:ilvl w:val="0"/>
          <w:numId w:val="10"/>
        </w:numPr>
        <w:spacing w:after="0" w:line="240" w:lineRule="auto"/>
        <w:rPr>
          <w:rFonts w:ascii="Times New Roman" w:hAnsi="Times New Roman"/>
          <w:sz w:val="24"/>
          <w:szCs w:val="19"/>
          <w:shd w:val="clear" w:color="auto" w:fill="FFFFFF"/>
        </w:rPr>
      </w:pPr>
      <w:r w:rsidRPr="003E5E4D">
        <w:rPr>
          <w:rFonts w:ascii="Times New Roman" w:hAnsi="Times New Roman"/>
          <w:sz w:val="24"/>
          <w:szCs w:val="19"/>
          <w:shd w:val="clear" w:color="auto" w:fill="FFFFFF"/>
        </w:rPr>
        <w:t>To differentiate between neurological and cardiac related episodes</w:t>
      </w:r>
      <w:r w:rsidR="00F81EA2" w:rsidRPr="00F81EA2">
        <w:rPr>
          <w:rFonts w:ascii="Times New Roman" w:hAnsi="Times New Roman"/>
          <w:sz w:val="24"/>
          <w:szCs w:val="19"/>
          <w:shd w:val="clear" w:color="auto" w:fill="FFFFFF"/>
        </w:rPr>
        <w:t>,</w:t>
      </w:r>
      <w:r w:rsidR="00F440BA" w:rsidRPr="00F81EA2">
        <w:rPr>
          <w:rFonts w:ascii="Times New Roman" w:hAnsi="Times New Roman"/>
          <w:sz w:val="24"/>
          <w:szCs w:val="19"/>
          <w:shd w:val="clear" w:color="auto" w:fill="FFFFFF"/>
        </w:rPr>
        <w:t xml:space="preserve"> such as syncope</w:t>
      </w:r>
      <w:r w:rsidR="003D3228">
        <w:rPr>
          <w:rFonts w:ascii="Times New Roman" w:hAnsi="Times New Roman"/>
          <w:sz w:val="24"/>
          <w:szCs w:val="19"/>
          <w:shd w:val="clear" w:color="auto" w:fill="FFFFFF"/>
        </w:rPr>
        <w:t>;</w:t>
      </w:r>
    </w:p>
    <w:p w14:paraId="25F105FA" w14:textId="02C807C8" w:rsidR="00C409A4" w:rsidRPr="000E7DFD" w:rsidRDefault="00526F73" w:rsidP="00C409A4">
      <w:pPr>
        <w:pStyle w:val="ListParagraph"/>
        <w:numPr>
          <w:ilvl w:val="0"/>
          <w:numId w:val="10"/>
        </w:numPr>
        <w:spacing w:after="0" w:line="240" w:lineRule="auto"/>
        <w:rPr>
          <w:rFonts w:ascii="Times New Roman" w:hAnsi="Times New Roman"/>
          <w:color w:val="FF0000"/>
          <w:sz w:val="24"/>
          <w:shd w:val="clear" w:color="auto" w:fill="FFFFFF"/>
        </w:rPr>
      </w:pPr>
      <w:r w:rsidRPr="00F81EA2">
        <w:rPr>
          <w:rFonts w:ascii="Times New Roman" w:hAnsi="Times New Roman"/>
          <w:sz w:val="24"/>
          <w:szCs w:val="24"/>
        </w:rPr>
        <w:t>To characterize seizure type, such as focal versus generalized seizures, and frequency</w:t>
      </w:r>
      <w:r w:rsidR="00F81EA2">
        <w:rPr>
          <w:rFonts w:ascii="Times New Roman" w:hAnsi="Times New Roman"/>
          <w:sz w:val="24"/>
          <w:szCs w:val="24"/>
        </w:rPr>
        <w:t>;</w:t>
      </w:r>
      <w:r w:rsidR="00080E88" w:rsidRPr="00F81EA2">
        <w:rPr>
          <w:rFonts w:ascii="Times New Roman" w:hAnsi="Times New Roman"/>
          <w:sz w:val="24"/>
          <w:szCs w:val="24"/>
        </w:rPr>
        <w:t xml:space="preserve"> </w:t>
      </w:r>
    </w:p>
    <w:p w14:paraId="25F105FB" w14:textId="77777777" w:rsidR="00C409A4" w:rsidRPr="003E5E4D" w:rsidRDefault="00C409A4" w:rsidP="00C409A4">
      <w:pPr>
        <w:pStyle w:val="ListParagraph"/>
        <w:numPr>
          <w:ilvl w:val="0"/>
          <w:numId w:val="10"/>
        </w:numPr>
        <w:spacing w:after="0" w:line="240" w:lineRule="auto"/>
        <w:rPr>
          <w:rFonts w:ascii="Times New Roman" w:hAnsi="Times New Roman"/>
          <w:sz w:val="24"/>
          <w:szCs w:val="19"/>
          <w:shd w:val="clear" w:color="auto" w:fill="FFFFFF"/>
        </w:rPr>
      </w:pPr>
      <w:r w:rsidRPr="003E5E4D">
        <w:rPr>
          <w:rFonts w:ascii="Times New Roman" w:hAnsi="Times New Roman"/>
          <w:sz w:val="24"/>
          <w:szCs w:val="19"/>
          <w:shd w:val="clear" w:color="auto" w:fill="FFFFFF"/>
        </w:rPr>
        <w:t>To localize seizure focus for enhanced patient management;</w:t>
      </w:r>
    </w:p>
    <w:p w14:paraId="25F105FE" w14:textId="17D7E197" w:rsidR="00C409A4" w:rsidRPr="00F81EA2" w:rsidRDefault="00F81EA2" w:rsidP="00386450">
      <w:pPr>
        <w:pStyle w:val="ListParagraph"/>
        <w:numPr>
          <w:ilvl w:val="0"/>
          <w:numId w:val="10"/>
        </w:numPr>
        <w:spacing w:after="0" w:line="240" w:lineRule="auto"/>
        <w:rPr>
          <w:rFonts w:ascii="Times New Roman" w:hAnsi="Times New Roman"/>
          <w:sz w:val="24"/>
          <w:szCs w:val="19"/>
          <w:shd w:val="clear" w:color="auto" w:fill="FFFFFF"/>
        </w:rPr>
      </w:pPr>
      <w:r>
        <w:rPr>
          <w:rFonts w:ascii="Times New Roman" w:hAnsi="Times New Roman"/>
          <w:sz w:val="24"/>
          <w:szCs w:val="19"/>
          <w:shd w:val="clear" w:color="auto" w:fill="FFFFFF"/>
        </w:rPr>
        <w:t>T</w:t>
      </w:r>
      <w:r w:rsidR="00C409A4" w:rsidRPr="00F81EA2">
        <w:rPr>
          <w:rFonts w:ascii="Times New Roman" w:hAnsi="Times New Roman"/>
          <w:sz w:val="24"/>
          <w:shd w:val="clear" w:color="auto" w:fill="FFFFFF"/>
        </w:rPr>
        <w:t>o evaluate seizures precipitated by naturally occurring cyclic events or environmental stimuli that are not reproducible in the hospital or clinic setting</w:t>
      </w:r>
      <w:r w:rsidR="00C409A4" w:rsidRPr="00F81EA2">
        <w:rPr>
          <w:rFonts w:ascii="Times New Roman" w:hAnsi="Times New Roman"/>
          <w:sz w:val="24"/>
          <w:szCs w:val="19"/>
          <w:shd w:val="clear" w:color="auto" w:fill="FFFFFF"/>
        </w:rPr>
        <w:t>.</w:t>
      </w:r>
      <w:r w:rsidR="00FC0EC4" w:rsidRPr="00F81EA2">
        <w:rPr>
          <w:rFonts w:ascii="Times New Roman" w:hAnsi="Times New Roman"/>
          <w:sz w:val="24"/>
          <w:szCs w:val="19"/>
          <w:shd w:val="clear" w:color="auto" w:fill="FFFFFF"/>
        </w:rPr>
        <w:t xml:space="preserve"> </w:t>
      </w:r>
    </w:p>
    <w:p w14:paraId="25F105FF" w14:textId="77777777" w:rsidR="00FB0592" w:rsidRPr="003E5E4D" w:rsidRDefault="00FB0592" w:rsidP="00C409A4">
      <w:pPr>
        <w:rPr>
          <w:b/>
          <w:bCs/>
        </w:rPr>
      </w:pPr>
    </w:p>
    <w:p w14:paraId="25F10600" w14:textId="77777777" w:rsidR="00C409A4" w:rsidRPr="00CA7794" w:rsidRDefault="00C409A4" w:rsidP="00396D3E">
      <w:pPr>
        <w:numPr>
          <w:ilvl w:val="0"/>
          <w:numId w:val="12"/>
        </w:numPr>
        <w:ind w:left="360"/>
        <w:rPr>
          <w:szCs w:val="19"/>
          <w:shd w:val="clear" w:color="auto" w:fill="FFFFFF"/>
        </w:rPr>
      </w:pPr>
      <w:r w:rsidRPr="003E5E4D">
        <w:rPr>
          <w:bCs/>
          <w:color w:val="000000"/>
        </w:rPr>
        <w:t>It is the policy of health plans affiliated with Centene Corporation that ambulatory EEG is</w:t>
      </w:r>
      <w:r w:rsidRPr="003E5E4D">
        <w:t xml:space="preserve"> considered </w:t>
      </w:r>
      <w:r w:rsidRPr="003E5E4D">
        <w:rPr>
          <w:b/>
        </w:rPr>
        <w:t>not medically necessary</w:t>
      </w:r>
      <w:r w:rsidRPr="003E5E4D">
        <w:t xml:space="preserve"> fo</w:t>
      </w:r>
      <w:r w:rsidR="00CA7794">
        <w:rPr>
          <w:szCs w:val="19"/>
          <w:shd w:val="clear" w:color="auto" w:fill="FFFFFF"/>
        </w:rPr>
        <w:t>r s</w:t>
      </w:r>
      <w:r w:rsidRPr="00CA7794">
        <w:rPr>
          <w:szCs w:val="19"/>
          <w:shd w:val="clear" w:color="auto" w:fill="FFFFFF"/>
        </w:rPr>
        <w:t>tudies of unattended, non-cooperative patients</w:t>
      </w:r>
      <w:r w:rsidR="00CA7794">
        <w:rPr>
          <w:szCs w:val="19"/>
          <w:shd w:val="clear" w:color="auto" w:fill="FFFFFF"/>
        </w:rPr>
        <w:t>.</w:t>
      </w:r>
    </w:p>
    <w:p w14:paraId="25F10601" w14:textId="77777777" w:rsidR="00C409A4" w:rsidRPr="003E5E4D" w:rsidRDefault="00C409A4" w:rsidP="00C409A4">
      <w:pPr>
        <w:rPr>
          <w:b/>
          <w:bCs/>
        </w:rPr>
      </w:pPr>
    </w:p>
    <w:p w14:paraId="601CCA39" w14:textId="21692525" w:rsidR="006F2915" w:rsidRPr="003E5E4D" w:rsidRDefault="00C409A4" w:rsidP="00C409A4">
      <w:r w:rsidRPr="003E5E4D">
        <w:t>Ambulatory EEG (CPT code 95950 or 95953) should always be preceded by an awake and drowsy/sleep EEG (CPT code 95816, 95819, 95822 or 95827).</w:t>
      </w:r>
    </w:p>
    <w:p w14:paraId="25F10603" w14:textId="77777777" w:rsidR="00C409A4" w:rsidRPr="003E5E4D" w:rsidRDefault="00C409A4" w:rsidP="00C409A4">
      <w:pPr>
        <w:rPr>
          <w:b/>
          <w:bCs/>
        </w:rPr>
      </w:pPr>
    </w:p>
    <w:p w14:paraId="25F10604" w14:textId="77777777" w:rsidR="00FB0592" w:rsidRPr="003E5E4D" w:rsidRDefault="00FB0592" w:rsidP="00FB0592">
      <w:pPr>
        <w:pStyle w:val="Heading2"/>
        <w:rPr>
          <w:u w:val="none"/>
        </w:rPr>
      </w:pPr>
      <w:r w:rsidRPr="003E5E4D">
        <w:rPr>
          <w:u w:val="none"/>
        </w:rPr>
        <w:t>Background</w:t>
      </w:r>
    </w:p>
    <w:p w14:paraId="25F10605" w14:textId="77777777" w:rsidR="001F054E" w:rsidRPr="003E5E4D" w:rsidRDefault="001F054E" w:rsidP="001F054E">
      <w:r w:rsidRPr="003E5E4D">
        <w:t xml:space="preserve">In most instances, a standard EEG performed at a clinic or outpatient epilepsy facility can identify brain activity specific to seizures; however, when routine EEG is inconclusive and the clinical history strongly suggests seizure activity, an </w:t>
      </w:r>
      <w:r w:rsidR="00C409A4" w:rsidRPr="003E5E4D">
        <w:t xml:space="preserve">ambulatory </w:t>
      </w:r>
      <w:r w:rsidRPr="003E5E4D">
        <w:t xml:space="preserve">EEG may be indicated.  An </w:t>
      </w:r>
      <w:r w:rsidR="00C409A4" w:rsidRPr="003E5E4D">
        <w:t xml:space="preserve">ambulatory </w:t>
      </w:r>
      <w:r w:rsidRPr="003E5E4D">
        <w:t xml:space="preserve">EEG may increase the chance of detecting an epileptiform abnormality in these individuals and significantly impact clinical management. An estimated 12% to 25% of individuals who previously had a normal or non-diagnostic routine EEG have epileptiform activity on </w:t>
      </w:r>
      <w:r w:rsidR="00C409A4" w:rsidRPr="003E5E4D">
        <w:t xml:space="preserve">ambulatory </w:t>
      </w:r>
      <w:r w:rsidRPr="003E5E4D">
        <w:t xml:space="preserve">EEG. </w:t>
      </w:r>
      <w:r w:rsidRPr="003E5E4D">
        <w:rPr>
          <w:vertAlign w:val="superscript"/>
        </w:rPr>
        <w:t>3</w:t>
      </w:r>
    </w:p>
    <w:p w14:paraId="25F10606" w14:textId="77777777" w:rsidR="00201901" w:rsidRPr="003E5E4D" w:rsidRDefault="00201901" w:rsidP="00201901">
      <w:pPr>
        <w:jc w:val="both"/>
      </w:pPr>
    </w:p>
    <w:p w14:paraId="25F10608" w14:textId="77777777" w:rsidR="00FB0592" w:rsidRPr="003E5E4D" w:rsidRDefault="00FB0592" w:rsidP="001F054E"/>
    <w:p w14:paraId="25F10609" w14:textId="0FF53BDB" w:rsidR="001F054E" w:rsidRPr="003E5E4D" w:rsidRDefault="001F054E" w:rsidP="001F054E">
      <w:r w:rsidRPr="003E5E4D">
        <w:t xml:space="preserve">Ambulatory EEG recordings can be utilized in the evaluation and differential diagnosis of other conditions, </w:t>
      </w:r>
      <w:r w:rsidR="00FF4C1A" w:rsidRPr="00F81EA2">
        <w:t xml:space="preserve">that includes </w:t>
      </w:r>
      <w:r w:rsidRPr="003E5E4D">
        <w:t>syncope, if these episodes are not diagnosed by conventional studies</w:t>
      </w:r>
      <w:r w:rsidR="00F81EA2">
        <w:t xml:space="preserve">. </w:t>
      </w:r>
      <w:r w:rsidR="00C03F9E">
        <w:t xml:space="preserve"> </w:t>
      </w:r>
      <w:r w:rsidRPr="003E5E4D">
        <w:rPr>
          <w:szCs w:val="19"/>
          <w:shd w:val="clear" w:color="auto" w:fill="FFFFFF"/>
        </w:rPr>
        <w:t xml:space="preserve">It </w:t>
      </w:r>
      <w:r w:rsidRPr="003E5E4D">
        <w:rPr>
          <w:szCs w:val="19"/>
          <w:shd w:val="clear" w:color="auto" w:fill="FFFFFF"/>
        </w:rPr>
        <w:lastRenderedPageBreak/>
        <w:t>may also allow an estimate of seizure frequency, which may at</w:t>
      </w:r>
      <w:r w:rsidRPr="003E5E4D">
        <w:t xml:space="preserve"> </w:t>
      </w:r>
      <w:r w:rsidRPr="003E5E4D">
        <w:rPr>
          <w:szCs w:val="19"/>
          <w:shd w:val="clear" w:color="auto" w:fill="FFFFFF"/>
        </w:rPr>
        <w:t>times help to evaluate the effectiveness of a drug and determine its appropriate dosage.</w:t>
      </w:r>
    </w:p>
    <w:p w14:paraId="25F1060A" w14:textId="77777777" w:rsidR="001F054E" w:rsidRPr="003E5E4D" w:rsidRDefault="001F054E" w:rsidP="001F054E"/>
    <w:p w14:paraId="25F1060B" w14:textId="59481EA4" w:rsidR="00C409A4" w:rsidRPr="003E5E4D" w:rsidRDefault="00C409A4" w:rsidP="001F054E">
      <w:r w:rsidRPr="003E5E4D">
        <w:t xml:space="preserve">Ambulatory </w:t>
      </w:r>
      <w:r w:rsidR="001F054E" w:rsidRPr="003E5E4D">
        <w:t xml:space="preserve">EEG testing provides a continuous recording of the brain's electrical activity that can range from several hours to </w:t>
      </w:r>
      <w:r w:rsidR="00333091" w:rsidRPr="00F81EA2">
        <w:t xml:space="preserve">up to a week </w:t>
      </w:r>
      <w:r w:rsidR="001F054E" w:rsidRPr="003E5E4D">
        <w:t>(typically 48 hours to 72 hours).</w:t>
      </w:r>
      <w:r w:rsidR="00AC0660">
        <w:t xml:space="preserve"> </w:t>
      </w:r>
      <w:r w:rsidR="001F054E" w:rsidRPr="003E5E4D">
        <w:t xml:space="preserve"> In the outpatient setting (physician office, clinic), a set of electrodes with leads is secured to the person's scalp and a digital recording unit is attached to the waist or a shoulder harness.</w:t>
      </w:r>
      <w:r w:rsidR="00AC0660">
        <w:t xml:space="preserve"> </w:t>
      </w:r>
      <w:r w:rsidR="001F054E" w:rsidRPr="003E5E4D">
        <w:t xml:space="preserve"> Currently, portable recordings of up to 32 channels can record computer-assisted spike and seizure detection rates over several days.</w:t>
      </w:r>
      <w:r w:rsidR="00AC0660">
        <w:t xml:space="preserve"> </w:t>
      </w:r>
      <w:r w:rsidR="001F054E" w:rsidRPr="003E5E4D">
        <w:t xml:space="preserve"> Event detection computer software is designed to increase the chance of recording an ictal event during a seizure or interictal epileptiform discharges occurring between seizures, during the person's routine daily activities and sleep. </w:t>
      </w:r>
      <w:r w:rsidR="00AC0660">
        <w:t xml:space="preserve"> </w:t>
      </w:r>
      <w:r w:rsidR="001F054E" w:rsidRPr="003E5E4D">
        <w:t xml:space="preserve">The person being tested and observers (family members, caregiver) have the opportunity to "tag" portions of the recording during clinical events using a push button device to signal when an observable event occurs. </w:t>
      </w:r>
    </w:p>
    <w:p w14:paraId="25F1060C" w14:textId="77777777" w:rsidR="00C409A4" w:rsidRPr="003E5E4D" w:rsidRDefault="00C409A4" w:rsidP="001F054E"/>
    <w:p w14:paraId="25F1060E" w14:textId="77777777" w:rsidR="00C409A4" w:rsidRPr="003E5E4D" w:rsidRDefault="00C409A4" w:rsidP="00C409A4"/>
    <w:p w14:paraId="25F1060F" w14:textId="77777777" w:rsidR="00170B14" w:rsidRPr="003E5E4D" w:rsidRDefault="00170B14" w:rsidP="00170B14">
      <w:pPr>
        <w:rPr>
          <w:b/>
        </w:rPr>
      </w:pPr>
      <w:bookmarkStart w:id="0" w:name="Coding_Implications"/>
      <w:r w:rsidRPr="003E5E4D">
        <w:rPr>
          <w:b/>
        </w:rPr>
        <w:t>Coding Implications</w:t>
      </w:r>
    </w:p>
    <w:bookmarkEnd w:id="0"/>
    <w:p w14:paraId="25F10610" w14:textId="2B88570A" w:rsidR="00504F77" w:rsidRDefault="00504F77" w:rsidP="00504F77">
      <w:r w:rsidRPr="00507DC0">
        <w:t xml:space="preserve">This </w:t>
      </w:r>
      <w:r>
        <w:t xml:space="preserve">clinical </w:t>
      </w:r>
      <w:r w:rsidRPr="00507DC0">
        <w:t>policy references Current Procedural Terminology (CPT</w:t>
      </w:r>
      <w:r w:rsidRPr="00DD6ADB">
        <w:rPr>
          <w:vertAlign w:val="superscript"/>
        </w:rPr>
        <w:t>®</w:t>
      </w:r>
      <w:r w:rsidRPr="00507DC0">
        <w:t>). CPT</w:t>
      </w:r>
      <w:r w:rsidRPr="00DD6ADB">
        <w:rPr>
          <w:vertAlign w:val="superscript"/>
        </w:rPr>
        <w:t>®</w:t>
      </w:r>
      <w:r w:rsidRPr="00507DC0">
        <w:t xml:space="preserve"> is a registered trademark of the Americ</w:t>
      </w:r>
      <w:r>
        <w:t>an Medical Association. All CPT</w:t>
      </w:r>
      <w:r w:rsidRPr="00507DC0">
        <w:t xml:space="preserve"> codes and descriptions are copyrighted 201</w:t>
      </w:r>
      <w:r w:rsidR="009B4B14">
        <w:t>9</w:t>
      </w:r>
      <w:r w:rsidRPr="00507DC0">
        <w:t>, American Medical Association. All rights reserved. CPT</w:t>
      </w:r>
      <w:r>
        <w:t xml:space="preserve"> codes and CPT</w:t>
      </w:r>
      <w:r w:rsidRPr="00507DC0">
        <w:t xml:space="preserve"> descriptions are from </w:t>
      </w:r>
      <w:r>
        <w:t xml:space="preserve">the </w:t>
      </w:r>
      <w:r w:rsidRPr="00507DC0">
        <w:t xml:space="preserve">current manuals and those included herein are not intended to be all-inclusive and are included for informational purposes only. </w:t>
      </w:r>
      <w:r w:rsidRPr="00E7516C">
        <w:t xml:space="preserve"> </w:t>
      </w:r>
      <w:r w:rsidRPr="005E117C">
        <w:t>Codes</w:t>
      </w:r>
      <w:r>
        <w:t xml:space="preserve"> referenced in this c</w:t>
      </w:r>
      <w:r w:rsidRPr="005E117C">
        <w:t xml:space="preserve">linical </w:t>
      </w:r>
      <w:r>
        <w:t>p</w:t>
      </w:r>
      <w:r w:rsidRPr="005E117C">
        <w:t>olicy are for informational purposes only.  Inclusion or exclusion of any codes does not guarantee coverage.  Providers should reference the most up-to-date sources of professional coding guidance prior to the submission of claims for reimbursement of covered services.</w:t>
      </w:r>
    </w:p>
    <w:p w14:paraId="25F10611" w14:textId="77777777" w:rsidR="00AF5490" w:rsidRPr="00A85489" w:rsidRDefault="00AF5490" w:rsidP="00AF5490"/>
    <w:tbl>
      <w:tblPr>
        <w:tblStyle w:val="TableGrid"/>
        <w:tblW w:w="4772" w:type="pct"/>
        <w:tblLook w:val="0020" w:firstRow="1" w:lastRow="0" w:firstColumn="0" w:lastColumn="0" w:noHBand="0" w:noVBand="0"/>
      </w:tblPr>
      <w:tblGrid>
        <w:gridCol w:w="1111"/>
        <w:gridCol w:w="7813"/>
      </w:tblGrid>
      <w:tr w:rsidR="00B777AF" w:rsidRPr="00B777AF" w14:paraId="25F10614" w14:textId="77777777" w:rsidTr="00201901">
        <w:trPr>
          <w:tblHeader/>
        </w:trPr>
        <w:tc>
          <w:tcPr>
            <w:tcW w:w="1121" w:type="dxa"/>
            <w:shd w:val="clear" w:color="auto" w:fill="00548C"/>
          </w:tcPr>
          <w:p w14:paraId="25F10612" w14:textId="77777777" w:rsidR="00D36448" w:rsidRPr="00B777AF" w:rsidRDefault="00D36448" w:rsidP="00127EF4">
            <w:pPr>
              <w:rPr>
                <w:b/>
                <w:bCs/>
                <w:color w:val="FFFFFF" w:themeColor="background1"/>
              </w:rPr>
            </w:pPr>
            <w:r w:rsidRPr="00B777AF">
              <w:rPr>
                <w:b/>
                <w:color w:val="FFFFFF" w:themeColor="background1"/>
              </w:rPr>
              <w:t>CPT</w:t>
            </w:r>
            <w:r w:rsidR="00AF5490" w:rsidRPr="00B777AF">
              <w:rPr>
                <w:b/>
                <w:color w:val="FFFFFF" w:themeColor="background1"/>
                <w:vertAlign w:val="superscript"/>
              </w:rPr>
              <w:t>®</w:t>
            </w:r>
            <w:r w:rsidRPr="00B777AF">
              <w:rPr>
                <w:b/>
                <w:color w:val="FFFFFF" w:themeColor="background1"/>
              </w:rPr>
              <w:t xml:space="preserve"> Codes </w:t>
            </w:r>
          </w:p>
        </w:tc>
        <w:tc>
          <w:tcPr>
            <w:tcW w:w="8018" w:type="dxa"/>
            <w:shd w:val="clear" w:color="auto" w:fill="00548C"/>
          </w:tcPr>
          <w:p w14:paraId="25F10613" w14:textId="77777777" w:rsidR="00D36448" w:rsidRPr="00B777AF" w:rsidRDefault="00D36448" w:rsidP="00127EF4">
            <w:pPr>
              <w:rPr>
                <w:b/>
                <w:bCs/>
                <w:color w:val="FFFFFF" w:themeColor="background1"/>
              </w:rPr>
            </w:pPr>
            <w:r w:rsidRPr="00B777AF">
              <w:rPr>
                <w:b/>
                <w:color w:val="FFFFFF" w:themeColor="background1"/>
              </w:rPr>
              <w:t>Description</w:t>
            </w:r>
          </w:p>
        </w:tc>
      </w:tr>
      <w:tr w:rsidR="00201901" w:rsidRPr="00201901" w14:paraId="25F10617" w14:textId="77777777" w:rsidTr="00201901">
        <w:tc>
          <w:tcPr>
            <w:tcW w:w="1121" w:type="dxa"/>
          </w:tcPr>
          <w:p w14:paraId="25F10615" w14:textId="77777777" w:rsidR="00201901" w:rsidRPr="00201901" w:rsidRDefault="00201901" w:rsidP="00127EF4">
            <w:r w:rsidRPr="00201901">
              <w:t>95950</w:t>
            </w:r>
          </w:p>
        </w:tc>
        <w:tc>
          <w:tcPr>
            <w:tcW w:w="8018" w:type="dxa"/>
          </w:tcPr>
          <w:p w14:paraId="25F10616" w14:textId="77777777" w:rsidR="00201901" w:rsidRPr="00201901" w:rsidRDefault="00201901" w:rsidP="00127EF4">
            <w:r w:rsidRPr="00201901">
              <w:t>Monitoring for identification and lateralization of cerebral seizure focus, electroencephalographic (eg, 8 channel EEG) recording and interpretation, each 24 hours</w:t>
            </w:r>
          </w:p>
        </w:tc>
      </w:tr>
      <w:tr w:rsidR="00201901" w:rsidRPr="00201901" w14:paraId="25F1061A" w14:textId="77777777" w:rsidTr="00201901">
        <w:tc>
          <w:tcPr>
            <w:tcW w:w="1121" w:type="dxa"/>
          </w:tcPr>
          <w:p w14:paraId="25F10618" w14:textId="77777777" w:rsidR="00201901" w:rsidRPr="00201901" w:rsidRDefault="00201901" w:rsidP="00127EF4">
            <w:r w:rsidRPr="00201901">
              <w:t>95953</w:t>
            </w:r>
          </w:p>
        </w:tc>
        <w:tc>
          <w:tcPr>
            <w:tcW w:w="8018" w:type="dxa"/>
          </w:tcPr>
          <w:p w14:paraId="25F10619" w14:textId="77777777" w:rsidR="00201901" w:rsidRPr="00201901" w:rsidRDefault="00201901" w:rsidP="00127EF4">
            <w:r w:rsidRPr="00201901">
              <w:t>Monitoring for localization of cerebral seizure focus by computerized portable 16 or more channel EEG, electroencephalographic (EEG) recording and interpretation, each 24 hours, unattended</w:t>
            </w:r>
          </w:p>
        </w:tc>
      </w:tr>
    </w:tbl>
    <w:p w14:paraId="25F1061B" w14:textId="77777777" w:rsidR="001C72C3" w:rsidRDefault="001C72C3" w:rsidP="00AF5490">
      <w:pPr>
        <w:rPr>
          <w:sz w:val="20"/>
        </w:rPr>
      </w:pPr>
    </w:p>
    <w:p w14:paraId="25F1061C" w14:textId="77777777" w:rsidR="00350F22" w:rsidRPr="00350F22" w:rsidRDefault="00350F22" w:rsidP="00AF5490">
      <w:pPr>
        <w:rPr>
          <w:b/>
        </w:rPr>
      </w:pPr>
      <w:r w:rsidRPr="00350F22">
        <w:rPr>
          <w:b/>
        </w:rPr>
        <w:t>ICD-10-CM Diagnosis Codes that Support Coverage Criteria</w:t>
      </w:r>
    </w:p>
    <w:tbl>
      <w:tblPr>
        <w:tblStyle w:val="TableGrid"/>
        <w:tblW w:w="4772" w:type="pct"/>
        <w:tblLook w:val="0020" w:firstRow="1" w:lastRow="0" w:firstColumn="0" w:lastColumn="0" w:noHBand="0" w:noVBand="0"/>
      </w:tblPr>
      <w:tblGrid>
        <w:gridCol w:w="2144"/>
        <w:gridCol w:w="6780"/>
      </w:tblGrid>
      <w:tr w:rsidR="00350F22" w:rsidRPr="00B777AF" w14:paraId="25F1061F" w14:textId="77777777" w:rsidTr="00575C3B">
        <w:trPr>
          <w:tblHeader/>
        </w:trPr>
        <w:tc>
          <w:tcPr>
            <w:tcW w:w="2144" w:type="dxa"/>
            <w:shd w:val="clear" w:color="auto" w:fill="00548C"/>
          </w:tcPr>
          <w:p w14:paraId="25F1061D" w14:textId="77777777" w:rsidR="00350F22" w:rsidRPr="00350F22" w:rsidRDefault="00350F22" w:rsidP="00350F22">
            <w:pPr>
              <w:rPr>
                <w:b/>
                <w:bCs/>
                <w:color w:val="FFFFFF"/>
              </w:rPr>
            </w:pPr>
            <w:r>
              <w:rPr>
                <w:b/>
                <w:color w:val="FFFFFF"/>
              </w:rPr>
              <w:t>ICD-10-CM Code</w:t>
            </w:r>
          </w:p>
        </w:tc>
        <w:tc>
          <w:tcPr>
            <w:tcW w:w="6780" w:type="dxa"/>
            <w:shd w:val="clear" w:color="auto" w:fill="00548C"/>
          </w:tcPr>
          <w:p w14:paraId="25F1061E" w14:textId="77777777" w:rsidR="00350F22" w:rsidRPr="00350F22" w:rsidRDefault="00350F22" w:rsidP="00127EF4">
            <w:pPr>
              <w:rPr>
                <w:b/>
                <w:bCs/>
                <w:color w:val="FFFFFF"/>
              </w:rPr>
            </w:pPr>
            <w:r w:rsidRPr="00350F22">
              <w:rPr>
                <w:b/>
                <w:color w:val="FFFFFF"/>
              </w:rPr>
              <w:t>Description</w:t>
            </w:r>
          </w:p>
        </w:tc>
      </w:tr>
      <w:tr w:rsidR="00201901" w:rsidRPr="00201901" w14:paraId="25F10622" w14:textId="77777777" w:rsidTr="00575C3B">
        <w:tc>
          <w:tcPr>
            <w:tcW w:w="2144" w:type="dxa"/>
          </w:tcPr>
          <w:p w14:paraId="25F10620" w14:textId="77777777" w:rsidR="00201901" w:rsidRPr="00201901" w:rsidRDefault="00201901" w:rsidP="00127EF4">
            <w:pPr>
              <w:jc w:val="both"/>
            </w:pPr>
            <w:r w:rsidRPr="00201901">
              <w:t>F44.5</w:t>
            </w:r>
          </w:p>
        </w:tc>
        <w:tc>
          <w:tcPr>
            <w:tcW w:w="6780" w:type="dxa"/>
          </w:tcPr>
          <w:p w14:paraId="25F10621" w14:textId="2E891E0E" w:rsidR="00201901" w:rsidRPr="00201901" w:rsidRDefault="00201901" w:rsidP="004679DC">
            <w:pPr>
              <w:jc w:val="both"/>
            </w:pPr>
            <w:r w:rsidRPr="004679DC">
              <w:t>Conversion disorder with seizures or convulsions</w:t>
            </w:r>
            <w:r w:rsidR="00A22C39" w:rsidRPr="004679DC">
              <w:t xml:space="preserve"> </w:t>
            </w:r>
          </w:p>
        </w:tc>
      </w:tr>
      <w:tr w:rsidR="00201901" w:rsidRPr="00201901" w14:paraId="25F10625" w14:textId="77777777" w:rsidTr="00575C3B">
        <w:tc>
          <w:tcPr>
            <w:tcW w:w="2144" w:type="dxa"/>
          </w:tcPr>
          <w:p w14:paraId="25F10623" w14:textId="77777777" w:rsidR="00201901" w:rsidRPr="00201901" w:rsidRDefault="00201901" w:rsidP="00370A4A">
            <w:pPr>
              <w:jc w:val="both"/>
            </w:pPr>
            <w:r w:rsidRPr="00201901">
              <w:t>G40.00</w:t>
            </w:r>
            <w:r w:rsidR="00CA7794">
              <w:t>1</w:t>
            </w:r>
            <w:r w:rsidR="00C4505A">
              <w:t>-</w:t>
            </w:r>
            <w:r w:rsidRPr="00201901">
              <w:t xml:space="preserve">  G40.</w:t>
            </w:r>
            <w:r w:rsidR="00370A4A">
              <w:t>9</w:t>
            </w:r>
            <w:r w:rsidRPr="00201901">
              <w:t>19</w:t>
            </w:r>
          </w:p>
        </w:tc>
        <w:tc>
          <w:tcPr>
            <w:tcW w:w="6780" w:type="dxa"/>
          </w:tcPr>
          <w:p w14:paraId="25F10624" w14:textId="77777777" w:rsidR="00201901" w:rsidRPr="00201901" w:rsidRDefault="00201901" w:rsidP="00127EF4">
            <w:pPr>
              <w:jc w:val="both"/>
            </w:pPr>
            <w:r w:rsidRPr="00201901">
              <w:t>Epilepsy and recurrent seizures</w:t>
            </w:r>
          </w:p>
        </w:tc>
      </w:tr>
      <w:tr w:rsidR="00201901" w:rsidRPr="00201901" w14:paraId="25F10628" w14:textId="77777777" w:rsidTr="00575C3B">
        <w:tc>
          <w:tcPr>
            <w:tcW w:w="2144" w:type="dxa"/>
          </w:tcPr>
          <w:p w14:paraId="25F10626" w14:textId="77777777" w:rsidR="00201901" w:rsidRPr="00201901" w:rsidRDefault="00201901" w:rsidP="00127EF4">
            <w:pPr>
              <w:jc w:val="both"/>
            </w:pPr>
            <w:r w:rsidRPr="00201901">
              <w:t>R25.0 – R25.8</w:t>
            </w:r>
          </w:p>
        </w:tc>
        <w:tc>
          <w:tcPr>
            <w:tcW w:w="6780" w:type="dxa"/>
          </w:tcPr>
          <w:p w14:paraId="25F10627" w14:textId="77777777" w:rsidR="00201901" w:rsidRPr="00201901" w:rsidRDefault="00201901" w:rsidP="00127EF4">
            <w:pPr>
              <w:jc w:val="both"/>
            </w:pPr>
            <w:r w:rsidRPr="00201901">
              <w:t>Abnormal involuntary movements</w:t>
            </w:r>
          </w:p>
        </w:tc>
      </w:tr>
      <w:tr w:rsidR="00201901" w:rsidRPr="00201901" w14:paraId="25F1062B" w14:textId="77777777" w:rsidTr="00575C3B">
        <w:tc>
          <w:tcPr>
            <w:tcW w:w="2144" w:type="dxa"/>
          </w:tcPr>
          <w:p w14:paraId="25F10629" w14:textId="77777777" w:rsidR="00201901" w:rsidRPr="00201901" w:rsidRDefault="00201901" w:rsidP="00127EF4">
            <w:pPr>
              <w:jc w:val="both"/>
            </w:pPr>
            <w:r w:rsidRPr="00201901">
              <w:t>R56.1</w:t>
            </w:r>
          </w:p>
        </w:tc>
        <w:tc>
          <w:tcPr>
            <w:tcW w:w="6780" w:type="dxa"/>
          </w:tcPr>
          <w:p w14:paraId="25F1062A" w14:textId="77777777" w:rsidR="00201901" w:rsidRPr="00201901" w:rsidRDefault="00201901" w:rsidP="00127EF4">
            <w:pPr>
              <w:jc w:val="both"/>
            </w:pPr>
            <w:r w:rsidRPr="00201901">
              <w:t>Post-traumatic seizures</w:t>
            </w:r>
          </w:p>
        </w:tc>
      </w:tr>
      <w:tr w:rsidR="00201901" w:rsidRPr="00201901" w14:paraId="25F1062E" w14:textId="77777777" w:rsidTr="00575C3B">
        <w:tc>
          <w:tcPr>
            <w:tcW w:w="2144" w:type="dxa"/>
          </w:tcPr>
          <w:p w14:paraId="25F1062C" w14:textId="77777777" w:rsidR="00201901" w:rsidRPr="00201901" w:rsidRDefault="00201901" w:rsidP="00127EF4">
            <w:pPr>
              <w:jc w:val="both"/>
            </w:pPr>
            <w:r w:rsidRPr="00201901">
              <w:t>R56.9</w:t>
            </w:r>
          </w:p>
        </w:tc>
        <w:tc>
          <w:tcPr>
            <w:tcW w:w="6780" w:type="dxa"/>
          </w:tcPr>
          <w:p w14:paraId="25F1062D" w14:textId="77777777" w:rsidR="00201901" w:rsidRPr="00201901" w:rsidRDefault="00201901" w:rsidP="00127EF4">
            <w:pPr>
              <w:jc w:val="both"/>
            </w:pPr>
            <w:r w:rsidRPr="00201901">
              <w:t>Unspecified convulsions</w:t>
            </w:r>
          </w:p>
        </w:tc>
      </w:tr>
    </w:tbl>
    <w:p w14:paraId="25F1062F" w14:textId="77777777" w:rsidR="00350F22" w:rsidRDefault="00350F22" w:rsidP="00AF5490"/>
    <w:tbl>
      <w:tblPr>
        <w:tblStyle w:val="LightList-Accent1"/>
        <w:tblW w:w="96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20" w:firstRow="1" w:lastRow="0" w:firstColumn="0" w:lastColumn="0" w:noHBand="0" w:noVBand="0"/>
      </w:tblPr>
      <w:tblGrid>
        <w:gridCol w:w="7398"/>
        <w:gridCol w:w="810"/>
        <w:gridCol w:w="1440"/>
      </w:tblGrid>
      <w:tr w:rsidR="00B777AF" w:rsidRPr="00B777AF" w14:paraId="25F10633" w14:textId="77777777" w:rsidTr="001E7D12">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7398" w:type="dxa"/>
            <w:tcBorders>
              <w:left w:val="none" w:sz="0" w:space="0" w:color="auto"/>
              <w:right w:val="none" w:sz="0" w:space="0" w:color="auto"/>
            </w:tcBorders>
            <w:shd w:val="clear" w:color="auto" w:fill="00548C"/>
          </w:tcPr>
          <w:p w14:paraId="25F10630" w14:textId="77777777" w:rsidR="00B777AF" w:rsidRPr="00B777AF" w:rsidRDefault="00B777AF" w:rsidP="00B777AF">
            <w:pPr>
              <w:rPr>
                <w:bCs w:val="0"/>
              </w:rPr>
            </w:pPr>
            <w:bookmarkStart w:id="1" w:name="Revision_Log"/>
            <w:r w:rsidRPr="00B777AF">
              <w:rPr>
                <w:bCs w:val="0"/>
              </w:rPr>
              <w:t>Reviews</w:t>
            </w:r>
            <w:r>
              <w:rPr>
                <w:bCs w:val="0"/>
              </w:rPr>
              <w:t>, Revisions, and Approvals</w:t>
            </w:r>
            <w:bookmarkEnd w:id="1"/>
          </w:p>
        </w:tc>
        <w:tc>
          <w:tcPr>
            <w:tcW w:w="810" w:type="dxa"/>
            <w:shd w:val="clear" w:color="auto" w:fill="00548C"/>
          </w:tcPr>
          <w:p w14:paraId="25F10631" w14:textId="77777777" w:rsidR="00B777AF" w:rsidRPr="00B777AF" w:rsidRDefault="00B777AF" w:rsidP="00B777AF">
            <w:pPr>
              <w:cnfStyle w:val="100000000000" w:firstRow="1" w:lastRow="0" w:firstColumn="0" w:lastColumn="0" w:oddVBand="0" w:evenVBand="0" w:oddHBand="0" w:evenHBand="0" w:firstRowFirstColumn="0" w:firstRowLastColumn="0" w:lastRowFirstColumn="0" w:lastRowLastColumn="0"/>
              <w:rPr>
                <w:bCs w:val="0"/>
              </w:rPr>
            </w:pPr>
            <w:r w:rsidRPr="00B777AF">
              <w:rPr>
                <w:bCs w:val="0"/>
              </w:rPr>
              <w:t>Date</w:t>
            </w:r>
          </w:p>
        </w:tc>
        <w:tc>
          <w:tcPr>
            <w:cnfStyle w:val="000010000000" w:firstRow="0" w:lastRow="0" w:firstColumn="0" w:lastColumn="0" w:oddVBand="1" w:evenVBand="0" w:oddHBand="0" w:evenHBand="0" w:firstRowFirstColumn="0" w:firstRowLastColumn="0" w:lastRowFirstColumn="0" w:lastRowLastColumn="0"/>
            <w:tcW w:w="1440" w:type="dxa"/>
            <w:tcBorders>
              <w:left w:val="none" w:sz="0" w:space="0" w:color="auto"/>
              <w:right w:val="none" w:sz="0" w:space="0" w:color="auto"/>
            </w:tcBorders>
            <w:shd w:val="clear" w:color="auto" w:fill="00548C"/>
          </w:tcPr>
          <w:p w14:paraId="25F10632" w14:textId="77777777" w:rsidR="00B777AF" w:rsidRPr="00B777AF" w:rsidRDefault="001818D7" w:rsidP="00857C10">
            <w:pPr>
              <w:jc w:val="center"/>
              <w:rPr>
                <w:bCs w:val="0"/>
              </w:rPr>
            </w:pPr>
            <w:r>
              <w:rPr>
                <w:bCs w:val="0"/>
              </w:rPr>
              <w:t>Approval</w:t>
            </w:r>
            <w:r w:rsidR="00B777AF" w:rsidRPr="00B777AF">
              <w:rPr>
                <w:bCs w:val="0"/>
              </w:rPr>
              <w:t xml:space="preserve"> Date</w:t>
            </w:r>
          </w:p>
        </w:tc>
      </w:tr>
      <w:tr w:rsidR="00B777AF" w14:paraId="25F10637" w14:textId="77777777" w:rsidTr="001E7D1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98" w:type="dxa"/>
            <w:tcBorders>
              <w:top w:val="none" w:sz="0" w:space="0" w:color="auto"/>
              <w:left w:val="none" w:sz="0" w:space="0" w:color="auto"/>
              <w:bottom w:val="none" w:sz="0" w:space="0" w:color="auto"/>
              <w:right w:val="none" w:sz="0" w:space="0" w:color="auto"/>
            </w:tcBorders>
          </w:tcPr>
          <w:p w14:paraId="25F10634" w14:textId="77777777" w:rsidR="00B777AF" w:rsidRDefault="00A54DF8" w:rsidP="00127EF4">
            <w:pPr>
              <w:tabs>
                <w:tab w:val="num" w:pos="720"/>
              </w:tabs>
            </w:pPr>
            <w:r>
              <w:t>Policy developed</w:t>
            </w:r>
          </w:p>
        </w:tc>
        <w:tc>
          <w:tcPr>
            <w:tcW w:w="810" w:type="dxa"/>
            <w:tcBorders>
              <w:top w:val="none" w:sz="0" w:space="0" w:color="auto"/>
              <w:bottom w:val="none" w:sz="0" w:space="0" w:color="auto"/>
            </w:tcBorders>
          </w:tcPr>
          <w:p w14:paraId="25F10635" w14:textId="77777777" w:rsidR="00B777AF" w:rsidRDefault="00A54DF8" w:rsidP="00127EF4">
            <w:pPr>
              <w:cnfStyle w:val="000000100000" w:firstRow="0" w:lastRow="0" w:firstColumn="0" w:lastColumn="0" w:oddVBand="0" w:evenVBand="0" w:oddHBand="1" w:evenHBand="0" w:firstRowFirstColumn="0" w:firstRowLastColumn="0" w:lastRowFirstColumn="0" w:lastRowLastColumn="0"/>
            </w:pPr>
            <w:r>
              <w:t>09/15</w:t>
            </w:r>
          </w:p>
        </w:tc>
        <w:tc>
          <w:tcPr>
            <w:cnfStyle w:val="000010000000" w:firstRow="0" w:lastRow="0" w:firstColumn="0" w:lastColumn="0" w:oddVBand="1" w:evenVBand="0" w:oddHBand="0" w:evenHBand="0" w:firstRowFirstColumn="0" w:firstRowLastColumn="0" w:lastRowFirstColumn="0" w:lastRowLastColumn="0"/>
            <w:tcW w:w="1440" w:type="dxa"/>
            <w:tcBorders>
              <w:top w:val="none" w:sz="0" w:space="0" w:color="auto"/>
              <w:left w:val="none" w:sz="0" w:space="0" w:color="auto"/>
              <w:bottom w:val="none" w:sz="0" w:space="0" w:color="auto"/>
              <w:right w:val="none" w:sz="0" w:space="0" w:color="auto"/>
            </w:tcBorders>
          </w:tcPr>
          <w:p w14:paraId="25F10636" w14:textId="77777777" w:rsidR="00B777AF" w:rsidRDefault="00A54DF8" w:rsidP="00857C10">
            <w:pPr>
              <w:jc w:val="center"/>
            </w:pPr>
            <w:r>
              <w:t>09/15</w:t>
            </w:r>
          </w:p>
        </w:tc>
      </w:tr>
      <w:tr w:rsidR="000223A7" w14:paraId="25F1063B" w14:textId="77777777" w:rsidTr="001E7D12">
        <w:tc>
          <w:tcPr>
            <w:cnfStyle w:val="000010000000" w:firstRow="0" w:lastRow="0" w:firstColumn="0" w:lastColumn="0" w:oddVBand="1" w:evenVBand="0" w:oddHBand="0" w:evenHBand="0" w:firstRowFirstColumn="0" w:firstRowLastColumn="0" w:lastRowFirstColumn="0" w:lastRowLastColumn="0"/>
            <w:tcW w:w="7398" w:type="dxa"/>
          </w:tcPr>
          <w:p w14:paraId="25F10638" w14:textId="77777777" w:rsidR="00CA7794" w:rsidRDefault="000223A7" w:rsidP="00127EF4">
            <w:pPr>
              <w:tabs>
                <w:tab w:val="num" w:pos="720"/>
              </w:tabs>
            </w:pPr>
            <w:r>
              <w:lastRenderedPageBreak/>
              <w:t xml:space="preserve">Converted to new policy template. </w:t>
            </w:r>
            <w:r w:rsidR="00CA7794">
              <w:t>Removed the following as Not Medically Necessary indications per specialist review: studies of neonates and studies to localize seizure focus in the presence of bilateral foci or rapid generalization. Reviewed by neurologist/sleep medicine specialist.</w:t>
            </w:r>
          </w:p>
        </w:tc>
        <w:tc>
          <w:tcPr>
            <w:tcW w:w="810" w:type="dxa"/>
          </w:tcPr>
          <w:p w14:paraId="25F10639" w14:textId="77777777" w:rsidR="000223A7" w:rsidRDefault="000223A7" w:rsidP="00127EF4">
            <w:pPr>
              <w:cnfStyle w:val="000000000000" w:firstRow="0" w:lastRow="0" w:firstColumn="0" w:lastColumn="0" w:oddVBand="0" w:evenVBand="0" w:oddHBand="0" w:evenHBand="0" w:firstRowFirstColumn="0" w:firstRowLastColumn="0" w:lastRowFirstColumn="0" w:lastRowLastColumn="0"/>
            </w:pPr>
            <w:r>
              <w:t>09/16</w:t>
            </w:r>
          </w:p>
        </w:tc>
        <w:tc>
          <w:tcPr>
            <w:cnfStyle w:val="000010000000" w:firstRow="0" w:lastRow="0" w:firstColumn="0" w:lastColumn="0" w:oddVBand="1" w:evenVBand="0" w:oddHBand="0" w:evenHBand="0" w:firstRowFirstColumn="0" w:firstRowLastColumn="0" w:lastRowFirstColumn="0" w:lastRowLastColumn="0"/>
            <w:tcW w:w="1440" w:type="dxa"/>
          </w:tcPr>
          <w:p w14:paraId="25F1063A" w14:textId="77777777" w:rsidR="000223A7" w:rsidRDefault="00CA7794" w:rsidP="00857C10">
            <w:pPr>
              <w:jc w:val="center"/>
            </w:pPr>
            <w:r>
              <w:t>09/16</w:t>
            </w:r>
          </w:p>
        </w:tc>
      </w:tr>
      <w:tr w:rsidR="0034317A" w14:paraId="25F1063F" w14:textId="77777777" w:rsidTr="001E7D1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98" w:type="dxa"/>
          </w:tcPr>
          <w:p w14:paraId="25F1063C" w14:textId="77777777" w:rsidR="001364A4" w:rsidRDefault="00A35C39" w:rsidP="00127EF4">
            <w:pPr>
              <w:tabs>
                <w:tab w:val="num" w:pos="720"/>
              </w:tabs>
            </w:pPr>
            <w:r>
              <w:t>References reviewed and updated.</w:t>
            </w:r>
          </w:p>
        </w:tc>
        <w:tc>
          <w:tcPr>
            <w:tcW w:w="810" w:type="dxa"/>
          </w:tcPr>
          <w:p w14:paraId="25F1063D" w14:textId="77777777" w:rsidR="0034317A" w:rsidRDefault="0034317A" w:rsidP="00127EF4">
            <w:pPr>
              <w:cnfStyle w:val="000000100000" w:firstRow="0" w:lastRow="0" w:firstColumn="0" w:lastColumn="0" w:oddVBand="0" w:evenVBand="0" w:oddHBand="1" w:evenHBand="0" w:firstRowFirstColumn="0" w:firstRowLastColumn="0" w:lastRowFirstColumn="0" w:lastRowLastColumn="0"/>
            </w:pPr>
            <w:r>
              <w:t>09/17</w:t>
            </w:r>
          </w:p>
        </w:tc>
        <w:tc>
          <w:tcPr>
            <w:cnfStyle w:val="000010000000" w:firstRow="0" w:lastRow="0" w:firstColumn="0" w:lastColumn="0" w:oddVBand="1" w:evenVBand="0" w:oddHBand="0" w:evenHBand="0" w:firstRowFirstColumn="0" w:firstRowLastColumn="0" w:lastRowFirstColumn="0" w:lastRowLastColumn="0"/>
            <w:tcW w:w="1440" w:type="dxa"/>
          </w:tcPr>
          <w:p w14:paraId="25F1063E" w14:textId="77777777" w:rsidR="0034317A" w:rsidRDefault="00B916FA" w:rsidP="00857C10">
            <w:pPr>
              <w:jc w:val="center"/>
            </w:pPr>
            <w:r>
              <w:t>09/17</w:t>
            </w:r>
          </w:p>
        </w:tc>
      </w:tr>
      <w:tr w:rsidR="00C47D4C" w14:paraId="25F10643" w14:textId="77777777" w:rsidTr="001E7D12">
        <w:tc>
          <w:tcPr>
            <w:cnfStyle w:val="000010000000" w:firstRow="0" w:lastRow="0" w:firstColumn="0" w:lastColumn="0" w:oddVBand="1" w:evenVBand="0" w:oddHBand="0" w:evenHBand="0" w:firstRowFirstColumn="0" w:firstRowLastColumn="0" w:lastRowFirstColumn="0" w:lastRowLastColumn="0"/>
            <w:tcW w:w="7398" w:type="dxa"/>
          </w:tcPr>
          <w:p w14:paraId="25F10640" w14:textId="77777777" w:rsidR="00C47D4C" w:rsidRDefault="00805CE8" w:rsidP="00127EF4">
            <w:pPr>
              <w:tabs>
                <w:tab w:val="num" w:pos="720"/>
              </w:tabs>
            </w:pPr>
            <w:r>
              <w:t>References reviewed and updated.</w:t>
            </w:r>
          </w:p>
        </w:tc>
        <w:tc>
          <w:tcPr>
            <w:tcW w:w="810" w:type="dxa"/>
          </w:tcPr>
          <w:p w14:paraId="25F10641" w14:textId="77777777" w:rsidR="00C47D4C" w:rsidRDefault="00C47D4C" w:rsidP="00127EF4">
            <w:pPr>
              <w:cnfStyle w:val="000000000000" w:firstRow="0" w:lastRow="0" w:firstColumn="0" w:lastColumn="0" w:oddVBand="0" w:evenVBand="0" w:oddHBand="0" w:evenHBand="0" w:firstRowFirstColumn="0" w:firstRowLastColumn="0" w:lastRowFirstColumn="0" w:lastRowLastColumn="0"/>
            </w:pPr>
            <w:r>
              <w:t>08/18</w:t>
            </w:r>
          </w:p>
        </w:tc>
        <w:tc>
          <w:tcPr>
            <w:cnfStyle w:val="000010000000" w:firstRow="0" w:lastRow="0" w:firstColumn="0" w:lastColumn="0" w:oddVBand="1" w:evenVBand="0" w:oddHBand="0" w:evenHBand="0" w:firstRowFirstColumn="0" w:firstRowLastColumn="0" w:lastRowFirstColumn="0" w:lastRowLastColumn="0"/>
            <w:tcW w:w="1440" w:type="dxa"/>
          </w:tcPr>
          <w:p w14:paraId="25F10642" w14:textId="77777777" w:rsidR="00C47D4C" w:rsidRDefault="006978D7" w:rsidP="00857C10">
            <w:pPr>
              <w:jc w:val="center"/>
            </w:pPr>
            <w:r>
              <w:t>08/18</w:t>
            </w:r>
          </w:p>
        </w:tc>
      </w:tr>
      <w:tr w:rsidR="0075464D" w14:paraId="3E8FA4FE" w14:textId="77777777" w:rsidTr="001E7D1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98" w:type="dxa"/>
          </w:tcPr>
          <w:p w14:paraId="2F0FEA37" w14:textId="688F9766" w:rsidR="0075464D" w:rsidRDefault="0075464D" w:rsidP="00794B4B">
            <w:pPr>
              <w:tabs>
                <w:tab w:val="num" w:pos="720"/>
              </w:tabs>
            </w:pPr>
            <w:r>
              <w:t>References reviewed</w:t>
            </w:r>
            <w:r w:rsidR="007974C2">
              <w:t xml:space="preserve"> and</w:t>
            </w:r>
            <w:r>
              <w:t xml:space="preserve"> updated</w:t>
            </w:r>
            <w:r w:rsidR="004434BA">
              <w:t xml:space="preserve"> with </w:t>
            </w:r>
            <w:r w:rsidR="00794B4B">
              <w:t>two</w:t>
            </w:r>
            <w:r w:rsidR="004434BA">
              <w:t xml:space="preserve"> added</w:t>
            </w:r>
            <w:r>
              <w:t>.  Coding reviewed.  Specialty review completed.</w:t>
            </w:r>
            <w:r w:rsidR="004434BA">
              <w:t xml:space="preserve">  Reviewed by neurologist.</w:t>
            </w:r>
            <w:r w:rsidR="004679DC">
              <w:t xml:space="preserve">  </w:t>
            </w:r>
            <w:r w:rsidR="004434BA">
              <w:t>Added</w:t>
            </w:r>
            <w:r w:rsidR="00D830B2">
              <w:t xml:space="preserve"> last sentence, “Ambulatory EEG monitoring….” to the description.  Within criteria, removed “for classification of seizure type” from “B.” and updated “D.” with “To characterize seizure type…..”, also removing “To adjust antiepileptic medication levels”.  Removed “F. To identify and medicate absence seizures.”  Removed “G. To differentiate between epileptic and sleep disorder related episodes.”</w:t>
            </w:r>
            <w:r w:rsidR="007974C2">
              <w:t xml:space="preserve">  Removed paragraph in Background section on psychogenic nonepileptic spells and the paragraph on analysis.</w:t>
            </w:r>
          </w:p>
        </w:tc>
        <w:tc>
          <w:tcPr>
            <w:tcW w:w="810" w:type="dxa"/>
          </w:tcPr>
          <w:p w14:paraId="1098FE40" w14:textId="45ABC9F9" w:rsidR="0075464D" w:rsidRDefault="0075464D" w:rsidP="00127EF4">
            <w:pPr>
              <w:cnfStyle w:val="000000100000" w:firstRow="0" w:lastRow="0" w:firstColumn="0" w:lastColumn="0" w:oddVBand="0" w:evenVBand="0" w:oddHBand="1" w:evenHBand="0" w:firstRowFirstColumn="0" w:firstRowLastColumn="0" w:lastRowFirstColumn="0" w:lastRowLastColumn="0"/>
            </w:pPr>
            <w:r>
              <w:t>08/19</w:t>
            </w:r>
          </w:p>
        </w:tc>
        <w:tc>
          <w:tcPr>
            <w:cnfStyle w:val="000010000000" w:firstRow="0" w:lastRow="0" w:firstColumn="0" w:lastColumn="0" w:oddVBand="1" w:evenVBand="0" w:oddHBand="0" w:evenHBand="0" w:firstRowFirstColumn="0" w:firstRowLastColumn="0" w:lastRowFirstColumn="0" w:lastRowLastColumn="0"/>
            <w:tcW w:w="1440" w:type="dxa"/>
          </w:tcPr>
          <w:p w14:paraId="585E8E8D" w14:textId="666EF3E0" w:rsidR="0075464D" w:rsidRDefault="003D3228" w:rsidP="00857C10">
            <w:pPr>
              <w:jc w:val="center"/>
            </w:pPr>
            <w:r>
              <w:t>08/19</w:t>
            </w:r>
          </w:p>
        </w:tc>
      </w:tr>
    </w:tbl>
    <w:p w14:paraId="25F10644" w14:textId="77777777" w:rsidR="00805CE8" w:rsidRDefault="00805CE8" w:rsidP="00963062">
      <w:pPr>
        <w:pStyle w:val="Heading3"/>
        <w:sectPr w:rsidR="00805CE8" w:rsidSect="00480C09">
          <w:type w:val="continuous"/>
          <w:pgSz w:w="12240" w:h="15840" w:code="1"/>
          <w:pgMar w:top="1440" w:right="1440" w:bottom="1440" w:left="1440" w:header="576" w:footer="288" w:gutter="0"/>
          <w:cols w:space="720"/>
          <w:titlePg/>
          <w:docGrid w:linePitch="360"/>
        </w:sectPr>
      </w:pPr>
    </w:p>
    <w:p w14:paraId="25F10645" w14:textId="77777777" w:rsidR="00963062" w:rsidRPr="00B777AF" w:rsidRDefault="00773E8F" w:rsidP="00963062">
      <w:pPr>
        <w:pStyle w:val="Heading3"/>
      </w:pPr>
      <w:r>
        <w:t>References</w:t>
      </w:r>
    </w:p>
    <w:p w14:paraId="25F10646" w14:textId="77777777" w:rsidR="00201901" w:rsidRPr="00201901" w:rsidRDefault="00201901" w:rsidP="00201901">
      <w:pPr>
        <w:pStyle w:val="ListParagraph"/>
        <w:numPr>
          <w:ilvl w:val="0"/>
          <w:numId w:val="8"/>
        </w:numPr>
        <w:ind w:left="360"/>
        <w:rPr>
          <w:rFonts w:ascii="Times New Roman" w:hAnsi="Times New Roman"/>
          <w:b/>
          <w:color w:val="1F497D"/>
          <w:sz w:val="24"/>
          <w:szCs w:val="24"/>
        </w:rPr>
      </w:pPr>
      <w:r w:rsidRPr="00201901">
        <w:rPr>
          <w:rFonts w:ascii="Times New Roman" w:hAnsi="Times New Roman"/>
          <w:color w:val="000000"/>
          <w:sz w:val="24"/>
          <w:szCs w:val="24"/>
          <w:shd w:val="clear" w:color="auto" w:fill="FFFFFF"/>
        </w:rPr>
        <w:t xml:space="preserve">Waterhouse E. New horizons in ambulatory electroencephalography. </w:t>
      </w:r>
      <w:r w:rsidRPr="00201901">
        <w:rPr>
          <w:rFonts w:ascii="Times New Roman" w:hAnsi="Times New Roman"/>
          <w:i/>
          <w:color w:val="000000"/>
          <w:sz w:val="24"/>
          <w:szCs w:val="24"/>
          <w:shd w:val="clear" w:color="auto" w:fill="FFFFFF"/>
        </w:rPr>
        <w:t>IEEE Eng Med Biol Mag</w:t>
      </w:r>
      <w:r w:rsidRPr="00201901">
        <w:rPr>
          <w:rFonts w:ascii="Times New Roman" w:hAnsi="Times New Roman"/>
          <w:color w:val="000000"/>
          <w:sz w:val="24"/>
          <w:szCs w:val="24"/>
          <w:shd w:val="clear" w:color="auto" w:fill="FFFFFF"/>
        </w:rPr>
        <w:t>. 2003;22(3):74-80</w:t>
      </w:r>
    </w:p>
    <w:p w14:paraId="25F10647" w14:textId="4C5D3F76" w:rsidR="00201901" w:rsidRPr="00201901" w:rsidRDefault="00201901" w:rsidP="009F3448">
      <w:pPr>
        <w:pStyle w:val="ListParagraph"/>
        <w:widowControl w:val="0"/>
        <w:numPr>
          <w:ilvl w:val="0"/>
          <w:numId w:val="8"/>
        </w:numPr>
        <w:autoSpaceDE w:val="0"/>
        <w:autoSpaceDN w:val="0"/>
        <w:adjustRightInd w:val="0"/>
        <w:spacing w:after="0" w:line="240" w:lineRule="auto"/>
        <w:ind w:left="360"/>
        <w:rPr>
          <w:rFonts w:ascii="Times New Roman" w:hAnsi="Times New Roman"/>
          <w:sz w:val="24"/>
          <w:szCs w:val="24"/>
        </w:rPr>
      </w:pPr>
      <w:r w:rsidRPr="00201901">
        <w:rPr>
          <w:rFonts w:ascii="Times New Roman" w:hAnsi="Times New Roman"/>
          <w:sz w:val="24"/>
          <w:szCs w:val="24"/>
        </w:rPr>
        <w:t xml:space="preserve">CMS Pub. 100-03, Medicare National Coverage Determinations Manual, Part 2, Section 160.22, Ambulatory EEG Monitoring. Available at </w:t>
      </w:r>
      <w:hyperlink r:id="rId14" w:history="1">
        <w:r w:rsidR="00C37EE2">
          <w:rPr>
            <w:rStyle w:val="Hyperlink"/>
            <w:rFonts w:ascii="Times New Roman" w:hAnsi="Times New Roman"/>
            <w:sz w:val="24"/>
            <w:szCs w:val="24"/>
          </w:rPr>
          <w:t>https://www.cms.gov/Regulations-and-Guidance/Guidance/Manuals/downloads/ncd103c1_part2</w:t>
        </w:r>
        <w:r w:rsidR="00C37EE2">
          <w:rPr>
            <w:rStyle w:val="Hyperlink"/>
            <w:rFonts w:ascii="Times New Roman" w:hAnsi="Times New Roman"/>
            <w:sz w:val="24"/>
            <w:szCs w:val="24"/>
          </w:rPr>
          <w:t>.</w:t>
        </w:r>
        <w:r w:rsidR="00C37EE2">
          <w:rPr>
            <w:rStyle w:val="Hyperlink"/>
            <w:rFonts w:ascii="Times New Roman" w:hAnsi="Times New Roman"/>
            <w:sz w:val="24"/>
            <w:szCs w:val="24"/>
          </w:rPr>
          <w:t>pdf.</w:t>
        </w:r>
      </w:hyperlink>
      <w:r w:rsidR="00C37EE2">
        <w:rPr>
          <w:rFonts w:ascii="Times New Roman" w:hAnsi="Times New Roman"/>
          <w:sz w:val="24"/>
          <w:szCs w:val="24"/>
        </w:rPr>
        <w:t xml:space="preserve"> Accessed </w:t>
      </w:r>
      <w:r w:rsidR="00AC0660">
        <w:rPr>
          <w:rFonts w:ascii="Times New Roman" w:hAnsi="Times New Roman"/>
          <w:sz w:val="24"/>
          <w:szCs w:val="24"/>
        </w:rPr>
        <w:t>July 8</w:t>
      </w:r>
      <w:r w:rsidR="00C37EE2">
        <w:rPr>
          <w:rFonts w:ascii="Times New Roman" w:hAnsi="Times New Roman"/>
          <w:sz w:val="24"/>
          <w:szCs w:val="24"/>
        </w:rPr>
        <w:t>, 201</w:t>
      </w:r>
      <w:r w:rsidR="00AC0660">
        <w:rPr>
          <w:rFonts w:ascii="Times New Roman" w:hAnsi="Times New Roman"/>
          <w:sz w:val="24"/>
          <w:szCs w:val="24"/>
        </w:rPr>
        <w:t>9</w:t>
      </w:r>
      <w:r w:rsidR="008829AA">
        <w:rPr>
          <w:rFonts w:ascii="Times New Roman" w:hAnsi="Times New Roman"/>
          <w:sz w:val="24"/>
          <w:szCs w:val="24"/>
        </w:rPr>
        <w:t>.</w:t>
      </w:r>
      <w:r w:rsidR="00150539">
        <w:rPr>
          <w:rFonts w:ascii="Times New Roman" w:hAnsi="Times New Roman"/>
          <w:sz w:val="24"/>
          <w:szCs w:val="24"/>
        </w:rPr>
        <w:t xml:space="preserve"> Revised </w:t>
      </w:r>
      <w:r w:rsidR="00C37EE2">
        <w:rPr>
          <w:rFonts w:ascii="Times New Roman" w:hAnsi="Times New Roman"/>
          <w:sz w:val="24"/>
          <w:szCs w:val="24"/>
        </w:rPr>
        <w:t>July 25, 2017.</w:t>
      </w:r>
    </w:p>
    <w:p w14:paraId="25F10648" w14:textId="77777777" w:rsidR="00201901" w:rsidRPr="00201901" w:rsidRDefault="00201901" w:rsidP="00201901">
      <w:pPr>
        <w:pStyle w:val="ListParagraph"/>
        <w:widowControl w:val="0"/>
        <w:numPr>
          <w:ilvl w:val="0"/>
          <w:numId w:val="8"/>
        </w:numPr>
        <w:autoSpaceDE w:val="0"/>
        <w:autoSpaceDN w:val="0"/>
        <w:adjustRightInd w:val="0"/>
        <w:spacing w:after="0" w:line="240" w:lineRule="auto"/>
        <w:ind w:left="360"/>
        <w:rPr>
          <w:rFonts w:ascii="Times New Roman" w:hAnsi="Times New Roman"/>
          <w:sz w:val="24"/>
          <w:szCs w:val="24"/>
        </w:rPr>
      </w:pPr>
      <w:r w:rsidRPr="00201901">
        <w:rPr>
          <w:rFonts w:ascii="Times New Roman" w:hAnsi="Times New Roman"/>
          <w:sz w:val="24"/>
          <w:szCs w:val="24"/>
        </w:rPr>
        <w:t xml:space="preserve">Krumholz A, Wiebe S, Gronseth GS, et al. </w:t>
      </w:r>
      <w:r w:rsidRPr="00201901">
        <w:rPr>
          <w:rFonts w:ascii="Times New Roman" w:hAnsi="Times New Roman"/>
          <w:color w:val="231F20"/>
          <w:sz w:val="24"/>
          <w:szCs w:val="24"/>
        </w:rPr>
        <w:t xml:space="preserve">Evidence-based guideline: management of an unprovoked first seizure in adults. </w:t>
      </w:r>
      <w:r w:rsidRPr="00201901">
        <w:rPr>
          <w:rFonts w:ascii="Times New Roman" w:hAnsi="Times New Roman"/>
          <w:sz w:val="24"/>
          <w:szCs w:val="24"/>
        </w:rPr>
        <w:t xml:space="preserve">Report of the Guideline Development Subcommittee of the American Academy of Neurology and the American Epilepsy Society. </w:t>
      </w:r>
      <w:r w:rsidRPr="00201901">
        <w:rPr>
          <w:rFonts w:ascii="Times New Roman" w:hAnsi="Times New Roman"/>
          <w:i/>
          <w:sz w:val="24"/>
          <w:szCs w:val="24"/>
        </w:rPr>
        <w:t>Neurology</w:t>
      </w:r>
      <w:r w:rsidRPr="00201901">
        <w:rPr>
          <w:rFonts w:ascii="Times New Roman" w:hAnsi="Times New Roman"/>
          <w:sz w:val="24"/>
          <w:szCs w:val="24"/>
        </w:rPr>
        <w:t>. 2015;84(16):1705–1713.</w:t>
      </w:r>
    </w:p>
    <w:p w14:paraId="25F10649" w14:textId="77777777" w:rsidR="00201901" w:rsidRPr="00201901" w:rsidRDefault="00201901" w:rsidP="00201901">
      <w:pPr>
        <w:numPr>
          <w:ilvl w:val="0"/>
          <w:numId w:val="8"/>
        </w:numPr>
        <w:shd w:val="clear" w:color="auto" w:fill="FFFFFF"/>
        <w:spacing w:beforeLines="1" w:before="2" w:afterLines="1" w:after="2"/>
        <w:ind w:left="360"/>
        <w:rPr>
          <w:color w:val="000000"/>
        </w:rPr>
      </w:pPr>
      <w:r w:rsidRPr="00201901">
        <w:rPr>
          <w:color w:val="000000"/>
        </w:rPr>
        <w:t xml:space="preserve">Brigo F. An evidence-based approach to proper diagnostic use of the electroencephalogram for suspected seizures. </w:t>
      </w:r>
      <w:r w:rsidRPr="00201901">
        <w:rPr>
          <w:i/>
          <w:color w:val="000000"/>
        </w:rPr>
        <w:t>Epilepsy Behav</w:t>
      </w:r>
      <w:r w:rsidRPr="00201901">
        <w:rPr>
          <w:color w:val="000000"/>
        </w:rPr>
        <w:t>. 2011; 21(3):219-222.</w:t>
      </w:r>
    </w:p>
    <w:p w14:paraId="25F1064A" w14:textId="77777777" w:rsidR="00201901" w:rsidRPr="00201901" w:rsidRDefault="00201901" w:rsidP="00201901">
      <w:pPr>
        <w:numPr>
          <w:ilvl w:val="0"/>
          <w:numId w:val="8"/>
        </w:numPr>
        <w:shd w:val="clear" w:color="auto" w:fill="FFFFFF"/>
        <w:spacing w:beforeLines="1" w:before="2" w:afterLines="1" w:after="2"/>
        <w:ind w:left="360"/>
        <w:rPr>
          <w:color w:val="000000"/>
        </w:rPr>
      </w:pPr>
      <w:r w:rsidRPr="00201901">
        <w:rPr>
          <w:color w:val="000000"/>
        </w:rPr>
        <w:t xml:space="preserve">Dash D, Hernandez-Ronquillo L, Moien-Afshari F, Tellez-Zenteno JF. Ambulatory EEG: a cost-effective alternative to inpatient video-EEG in adult patients. </w:t>
      </w:r>
      <w:r w:rsidRPr="00201901">
        <w:rPr>
          <w:i/>
          <w:color w:val="000000"/>
        </w:rPr>
        <w:t>Epileptic Disord</w:t>
      </w:r>
      <w:r w:rsidRPr="00201901">
        <w:rPr>
          <w:color w:val="000000"/>
        </w:rPr>
        <w:t>. 2012;14(3):290-297.</w:t>
      </w:r>
    </w:p>
    <w:p w14:paraId="25F1064B" w14:textId="77777777" w:rsidR="00201901" w:rsidRPr="00201901" w:rsidRDefault="00201901" w:rsidP="00201901">
      <w:pPr>
        <w:numPr>
          <w:ilvl w:val="0"/>
          <w:numId w:val="8"/>
        </w:numPr>
        <w:shd w:val="clear" w:color="auto" w:fill="FFFFFF"/>
        <w:spacing w:beforeLines="1" w:before="2" w:afterLines="1" w:after="2"/>
        <w:ind w:left="360"/>
        <w:rPr>
          <w:color w:val="000000"/>
        </w:rPr>
      </w:pPr>
      <w:r w:rsidRPr="00201901">
        <w:rPr>
          <w:color w:val="000000"/>
        </w:rPr>
        <w:t xml:space="preserve">Faulkner HJ, Arima H, Mohamed A. Latency to first interictal epileptiform discharge in epilepsy with outpatient ambulatory EEG. </w:t>
      </w:r>
      <w:r w:rsidRPr="00201901">
        <w:rPr>
          <w:i/>
          <w:color w:val="000000"/>
        </w:rPr>
        <w:t>Clin Neurophysiol</w:t>
      </w:r>
      <w:r w:rsidRPr="00201901">
        <w:rPr>
          <w:color w:val="000000"/>
        </w:rPr>
        <w:t>. 2012; 123(9):1732-1735.</w:t>
      </w:r>
    </w:p>
    <w:p w14:paraId="25F1064C" w14:textId="77777777" w:rsidR="00201901" w:rsidRPr="00201901" w:rsidRDefault="00201901" w:rsidP="00201901">
      <w:pPr>
        <w:numPr>
          <w:ilvl w:val="0"/>
          <w:numId w:val="8"/>
        </w:numPr>
        <w:shd w:val="clear" w:color="auto" w:fill="FFFFFF"/>
        <w:spacing w:beforeLines="1" w:before="2" w:afterLines="1" w:after="2"/>
        <w:ind w:left="360"/>
        <w:rPr>
          <w:color w:val="000000"/>
        </w:rPr>
      </w:pPr>
      <w:r w:rsidRPr="00201901">
        <w:rPr>
          <w:color w:val="000000"/>
        </w:rPr>
        <w:t xml:space="preserve">Hussain N, Gayatri N, Blake A, Downey L, Seri S, Whitehouse WP. Ambulatory electroencephalogram in children: a prospective clinical audit of 100 cases. </w:t>
      </w:r>
      <w:r w:rsidRPr="00201901">
        <w:rPr>
          <w:i/>
          <w:color w:val="000000"/>
        </w:rPr>
        <w:t>J Pediatr Neurosci</w:t>
      </w:r>
      <w:r w:rsidRPr="00201901">
        <w:rPr>
          <w:color w:val="000000"/>
        </w:rPr>
        <w:t>. 2013;8(3):188-191.</w:t>
      </w:r>
    </w:p>
    <w:p w14:paraId="25F1064D" w14:textId="21EE0674" w:rsidR="00963062" w:rsidRDefault="00201901" w:rsidP="00201901">
      <w:pPr>
        <w:numPr>
          <w:ilvl w:val="0"/>
          <w:numId w:val="8"/>
        </w:numPr>
        <w:shd w:val="clear" w:color="auto" w:fill="FFFFFF"/>
        <w:spacing w:beforeLines="1" w:before="2" w:afterLines="1" w:after="2"/>
        <w:ind w:left="360"/>
        <w:rPr>
          <w:color w:val="000000"/>
        </w:rPr>
      </w:pPr>
      <w:r w:rsidRPr="00201901">
        <w:rPr>
          <w:color w:val="000000"/>
        </w:rPr>
        <w:t xml:space="preserve">Seneviratne U, Mohamed A, Cook M, D'Souza W. The utility of ambulatory electroencephalography in routine clinical practice: a critical review. </w:t>
      </w:r>
      <w:r w:rsidRPr="00201901">
        <w:rPr>
          <w:i/>
          <w:color w:val="000000"/>
        </w:rPr>
        <w:t>Epilepsy Res</w:t>
      </w:r>
      <w:r w:rsidRPr="00201901">
        <w:rPr>
          <w:color w:val="000000"/>
        </w:rPr>
        <w:t>. 2013;105(1-2):1-12.</w:t>
      </w:r>
    </w:p>
    <w:p w14:paraId="437A608A" w14:textId="6C500CDC" w:rsidR="001D5D2E" w:rsidRPr="00201901" w:rsidRDefault="001D5D2E" w:rsidP="00201901">
      <w:pPr>
        <w:numPr>
          <w:ilvl w:val="0"/>
          <w:numId w:val="8"/>
        </w:numPr>
        <w:shd w:val="clear" w:color="auto" w:fill="FFFFFF"/>
        <w:spacing w:beforeLines="1" w:before="2" w:afterLines="1" w:after="2"/>
        <w:ind w:left="360"/>
        <w:rPr>
          <w:color w:val="000000"/>
        </w:rPr>
      </w:pPr>
      <w:r>
        <w:rPr>
          <w:color w:val="000000"/>
        </w:rPr>
        <w:t>Hi</w:t>
      </w:r>
      <w:r w:rsidR="003D3228">
        <w:rPr>
          <w:color w:val="000000"/>
        </w:rPr>
        <w:t xml:space="preserve">rsch SJ, Haider HA, Moeller, J.  </w:t>
      </w:r>
      <w:r>
        <w:rPr>
          <w:color w:val="000000"/>
        </w:rPr>
        <w:t>Video and ambulatory EEG monitoring in the diagnosis of seizures and epilepsy.  UpToDate.  July 3, 2017.</w:t>
      </w:r>
    </w:p>
    <w:p w14:paraId="79D4D6FE" w14:textId="560A47D6" w:rsidR="008573FF" w:rsidRDefault="008573FF" w:rsidP="00201901">
      <w:pPr>
        <w:numPr>
          <w:ilvl w:val="0"/>
          <w:numId w:val="8"/>
        </w:numPr>
        <w:shd w:val="clear" w:color="auto" w:fill="FFFFFF"/>
        <w:spacing w:beforeLines="1" w:before="2" w:afterLines="1" w:after="2"/>
        <w:ind w:left="360"/>
        <w:rPr>
          <w:color w:val="000000"/>
        </w:rPr>
      </w:pPr>
      <w:r>
        <w:rPr>
          <w:color w:val="000000"/>
        </w:rPr>
        <w:t xml:space="preserve">Korff CM.  Childhood absence epilepsy, </w:t>
      </w:r>
      <w:bookmarkStart w:id="2" w:name="_GoBack"/>
      <w:bookmarkEnd w:id="2"/>
      <w:r>
        <w:rPr>
          <w:color w:val="000000"/>
        </w:rPr>
        <w:t>UpToDate.  March 27, 2019</w:t>
      </w:r>
      <w:r w:rsidR="004679DC">
        <w:rPr>
          <w:color w:val="000000"/>
        </w:rPr>
        <w:t>.</w:t>
      </w:r>
    </w:p>
    <w:p w14:paraId="784A2AA0" w14:textId="68BF8219" w:rsidR="004679DC" w:rsidRPr="004679DC" w:rsidRDefault="004679DC" w:rsidP="00201901">
      <w:pPr>
        <w:numPr>
          <w:ilvl w:val="0"/>
          <w:numId w:val="8"/>
        </w:numPr>
        <w:shd w:val="clear" w:color="auto" w:fill="FFFFFF"/>
        <w:spacing w:beforeLines="1" w:before="2" w:afterLines="1" w:after="2"/>
        <w:ind w:left="360"/>
      </w:pPr>
      <w:r w:rsidRPr="004679DC">
        <w:rPr>
          <w:bCs/>
          <w:shd w:val="clear" w:color="auto" w:fill="FFFFFF"/>
        </w:rPr>
        <w:t>Lawley A</w:t>
      </w:r>
      <w:r w:rsidRPr="004679DC">
        <w:rPr>
          <w:shd w:val="clear" w:color="auto" w:fill="FFFFFF"/>
        </w:rPr>
        <w:t xml:space="preserve">, Evans S, Manfredonia F, Cavanna AE. </w:t>
      </w:r>
      <w:hyperlink r:id="rId15" w:history="1">
        <w:r w:rsidRPr="004679DC">
          <w:rPr>
            <w:rStyle w:val="Hyperlink"/>
            <w:color w:val="auto"/>
            <w:u w:val="none"/>
            <w:shd w:val="clear" w:color="auto" w:fill="FFFFFF"/>
          </w:rPr>
          <w:t>The role of outpatient ambulatory electroencephalography in the diagnosis and management of adults with epilepsy or nonepileptic attack disorder: A systematic literature review.</w:t>
        </w:r>
      </w:hyperlink>
      <w:r w:rsidRPr="004679DC">
        <w:t xml:space="preserve"> </w:t>
      </w:r>
      <w:r w:rsidRPr="004679DC">
        <w:rPr>
          <w:rStyle w:val="jrnl"/>
          <w:shd w:val="clear" w:color="auto" w:fill="FFFFFF"/>
        </w:rPr>
        <w:t>Epilepsy Behav</w:t>
      </w:r>
      <w:r w:rsidRPr="004679DC">
        <w:rPr>
          <w:shd w:val="clear" w:color="auto" w:fill="FFFFFF"/>
        </w:rPr>
        <w:t>. 2015 Dec;53:26-30</w:t>
      </w:r>
    </w:p>
    <w:p w14:paraId="25F1064E" w14:textId="77777777" w:rsidR="00875924" w:rsidRDefault="00875924" w:rsidP="00C75BD4">
      <w:pPr>
        <w:jc w:val="both"/>
        <w:rPr>
          <w:i/>
          <w:iCs/>
        </w:rPr>
      </w:pPr>
    </w:p>
    <w:p w14:paraId="25F1064F" w14:textId="77777777" w:rsidR="00504F77" w:rsidRPr="00146C6E" w:rsidRDefault="00504F77" w:rsidP="00504F77">
      <w:pPr>
        <w:rPr>
          <w:rFonts w:eastAsiaTheme="minorHAnsi"/>
          <w:b/>
          <w:u w:val="single"/>
        </w:rPr>
      </w:pPr>
      <w:bookmarkStart w:id="3" w:name="Important_Reminder"/>
      <w:r w:rsidRPr="00146C6E">
        <w:rPr>
          <w:rFonts w:eastAsiaTheme="minorHAnsi"/>
          <w:b/>
          <w:bCs/>
          <w:u w:val="single"/>
        </w:rPr>
        <w:t>Important Reminder</w:t>
      </w:r>
      <w:bookmarkEnd w:id="3"/>
    </w:p>
    <w:p w14:paraId="25F10650" w14:textId="77777777" w:rsidR="00504F77" w:rsidRPr="00146C6E" w:rsidRDefault="00504F77" w:rsidP="00504F77">
      <w:pPr>
        <w:rPr>
          <w:rFonts w:eastAsiaTheme="minorHAnsi"/>
        </w:rPr>
      </w:pPr>
      <w:r w:rsidRPr="00146C6E">
        <w:rPr>
          <w:rFonts w:eastAsiaTheme="minorHAnsi"/>
        </w:rPr>
        <w:t xml:space="preserve">This clinical policy has been developed by appropriately experienced and licensed health care professionals based on a review and consideration of currently available generally accepted standards of medical practice; peer-reviewed medical literature; government agency/program approval status; evidence-based guidelines and positions of leading national health professional organizations; views of physicians practicing in relevant clinical areas affected by this clinical policy; and other available clinical information. </w:t>
      </w:r>
      <w:r w:rsidRPr="00146C6E">
        <w:rPr>
          <w:rFonts w:eastAsiaTheme="minorHAnsi"/>
          <w:iCs/>
        </w:rPr>
        <w:t>The Health Plan</w:t>
      </w:r>
      <w:r w:rsidRPr="00146C6E">
        <w:rPr>
          <w:rFonts w:eastAsiaTheme="minorHAnsi"/>
        </w:rPr>
        <w:t xml:space="preserve"> makes no representations and accepts no liability with respect to the content of any external information used or relied upon in developing this clinical policy. This clinical policy is consistent with standards of medical practice current at the time that this clinical policy was approved. “Health Plan” means a health plan that has adopted this clinical policy and that is operated or administered, in whole or in part, by Centene Management Company, LLC, or any of such health plan’s affiliates, as applicable.</w:t>
      </w:r>
    </w:p>
    <w:p w14:paraId="25F10651" w14:textId="77777777" w:rsidR="00504F77" w:rsidRPr="00146C6E" w:rsidRDefault="00504F77" w:rsidP="00504F77">
      <w:pPr>
        <w:rPr>
          <w:rFonts w:eastAsiaTheme="minorHAnsi"/>
        </w:rPr>
      </w:pPr>
    </w:p>
    <w:p w14:paraId="25F10652" w14:textId="77777777" w:rsidR="00504F77" w:rsidRPr="00146C6E" w:rsidRDefault="00504F77" w:rsidP="00504F77">
      <w:pPr>
        <w:rPr>
          <w:rFonts w:eastAsiaTheme="minorHAnsi"/>
        </w:rPr>
      </w:pPr>
      <w:r w:rsidRPr="00146C6E">
        <w:rPr>
          <w:rFonts w:eastAsiaTheme="minorHAnsi"/>
        </w:rPr>
        <w:t xml:space="preserve">The purpose of this clinical policy is to provide a guide to medical necessity, which is a component of the guidelines used to assist in making coverage decisions and administering benefits. It does not constitute a contract or guarantee regarding payment or results. Coverage decisions and the administration of benefits are subject to all terms, conditions, exclusions and limitations of the coverage documents (e.g., evidence of coverage, certificate of coverage, policy, contract of insurance, etc.), as well as to state and federal requirements and applicable Health Plan-level administrative policies and procedures.   </w:t>
      </w:r>
    </w:p>
    <w:p w14:paraId="25F10653" w14:textId="77777777" w:rsidR="00504F77" w:rsidRPr="00146C6E" w:rsidRDefault="00504F77" w:rsidP="00504F77">
      <w:pPr>
        <w:rPr>
          <w:rFonts w:eastAsiaTheme="minorHAnsi"/>
        </w:rPr>
      </w:pPr>
    </w:p>
    <w:p w14:paraId="25F10654" w14:textId="77777777" w:rsidR="00504F77" w:rsidRPr="00146C6E" w:rsidRDefault="00504F77" w:rsidP="00504F77">
      <w:pPr>
        <w:rPr>
          <w:color w:val="002868"/>
        </w:rPr>
      </w:pPr>
      <w:r w:rsidRPr="00146C6E">
        <w:rPr>
          <w:rFonts w:eastAsiaTheme="minorHAnsi"/>
        </w:rPr>
        <w:t>This clinical policy is effective as of the date determined by the Health Plan. The date of posting may not be the effective date of this clinical policy. This clinical policy may be subject to applicable legal and regulatory requirements relating to provider notification. If there is a discrepancy between the effective date of this clinical policy and any applicable legal or regulatory requirement, the requirements of law and regulation shall govern. The Health Plan retains the right to change, amend or withdraw this clinical policy, and additional clinical policies may be developed and adopted as needed, at any time.</w:t>
      </w:r>
    </w:p>
    <w:p w14:paraId="25F10655" w14:textId="77777777" w:rsidR="00504F77" w:rsidRPr="00146C6E" w:rsidRDefault="00504F77" w:rsidP="00504F77">
      <w:pPr>
        <w:rPr>
          <w:rFonts w:eastAsiaTheme="minorHAnsi"/>
        </w:rPr>
      </w:pPr>
    </w:p>
    <w:p w14:paraId="25F10656" w14:textId="77777777" w:rsidR="00504F77" w:rsidRPr="00146C6E" w:rsidRDefault="00504F77" w:rsidP="00504F77">
      <w:pPr>
        <w:rPr>
          <w:rFonts w:eastAsiaTheme="minorHAnsi"/>
        </w:rPr>
      </w:pPr>
      <w:r w:rsidRPr="00146C6E">
        <w:rPr>
          <w:rFonts w:eastAsiaTheme="minorHAnsi"/>
        </w:rPr>
        <w:t xml:space="preserve">This clinical policy does not constitute medical advice, medical treatment or medical care.  It is not intended to dictate to providers how to practice medicine. Providers are expected to exercise professional medical judgment in providing the most appropriate care, and are solely responsible for the medical advice and treatment of members.  This clinical policy is not intended to recommend treatment for members. Members should consult with their treating physician in connection with diagnosis and treatment decisions. </w:t>
      </w:r>
    </w:p>
    <w:p w14:paraId="25F10657" w14:textId="77777777" w:rsidR="00504F77" w:rsidRPr="00146C6E" w:rsidRDefault="00504F77" w:rsidP="00504F77">
      <w:pPr>
        <w:rPr>
          <w:rFonts w:eastAsiaTheme="minorHAnsi"/>
        </w:rPr>
      </w:pPr>
    </w:p>
    <w:p w14:paraId="25F10658" w14:textId="77777777" w:rsidR="00504F77" w:rsidRPr="00146C6E" w:rsidRDefault="00504F77" w:rsidP="00504F77">
      <w:pPr>
        <w:rPr>
          <w:rFonts w:eastAsiaTheme="minorHAnsi"/>
        </w:rPr>
      </w:pPr>
      <w:r w:rsidRPr="00146C6E">
        <w:rPr>
          <w:rFonts w:eastAsiaTheme="minorHAnsi"/>
        </w:rPr>
        <w:t>Providers referred to in this clinical policy are independent contractors who exercise independent judgment and over whom the Health Plan has no control or right of control.  Providers are not agents or employees of the Health Plan.</w:t>
      </w:r>
    </w:p>
    <w:p w14:paraId="25F10659" w14:textId="77777777" w:rsidR="00504F77" w:rsidRPr="00146C6E" w:rsidRDefault="00504F77" w:rsidP="00504F77">
      <w:pPr>
        <w:rPr>
          <w:rFonts w:eastAsiaTheme="minorHAnsi"/>
        </w:rPr>
      </w:pPr>
    </w:p>
    <w:p w14:paraId="25F1065A" w14:textId="77777777" w:rsidR="00504F77" w:rsidRPr="00146C6E" w:rsidRDefault="00504F77" w:rsidP="00504F77">
      <w:pPr>
        <w:rPr>
          <w:rFonts w:eastAsiaTheme="minorHAnsi"/>
        </w:rPr>
      </w:pPr>
      <w:r w:rsidRPr="00146C6E">
        <w:rPr>
          <w:rFonts w:eastAsiaTheme="minorHAnsi"/>
        </w:rPr>
        <w:t xml:space="preserve">This clinical policy is the property of </w:t>
      </w:r>
      <w:r w:rsidRPr="00146C6E">
        <w:rPr>
          <w:rFonts w:eastAsiaTheme="minorHAnsi"/>
          <w:iCs/>
        </w:rPr>
        <w:t>the Health Plan</w:t>
      </w:r>
      <w:r w:rsidRPr="00146C6E">
        <w:rPr>
          <w:rFonts w:eastAsiaTheme="minorHAnsi"/>
        </w:rPr>
        <w:t xml:space="preserve">. Unauthorized copying, use, and distribution of this clinical policy or any information contained herein are strictly prohibited.  Providers, members and their representatives are bound to the terms and conditions expressed herein through the terms of their contracts.  Where no such contract exists, providers, members and their representatives agree to be bound by such terms and conditions by providing services to members and/or submitting claims for payment for such services.  </w:t>
      </w:r>
    </w:p>
    <w:p w14:paraId="25F1065B" w14:textId="77777777" w:rsidR="00504F77" w:rsidRPr="00146C6E" w:rsidRDefault="00504F77" w:rsidP="00504F77">
      <w:pPr>
        <w:autoSpaceDE w:val="0"/>
        <w:autoSpaceDN w:val="0"/>
        <w:adjustRightInd w:val="0"/>
        <w:rPr>
          <w:rFonts w:eastAsiaTheme="minorHAnsi"/>
          <w:color w:val="000000"/>
        </w:rPr>
      </w:pPr>
    </w:p>
    <w:p w14:paraId="25F1065C" w14:textId="77777777" w:rsidR="00504F77" w:rsidRPr="00146C6E" w:rsidRDefault="00504F77" w:rsidP="00504F77">
      <w:pPr>
        <w:autoSpaceDE w:val="0"/>
        <w:autoSpaceDN w:val="0"/>
        <w:adjustRightInd w:val="0"/>
        <w:rPr>
          <w:rFonts w:eastAsiaTheme="minorHAnsi"/>
          <w:color w:val="000000"/>
        </w:rPr>
      </w:pPr>
      <w:r w:rsidRPr="00146C6E">
        <w:rPr>
          <w:rFonts w:eastAsiaTheme="minorHAnsi"/>
          <w:b/>
          <w:color w:val="000000"/>
        </w:rPr>
        <w:t>Note: For Medicaid members</w:t>
      </w:r>
      <w:r w:rsidRPr="00146C6E">
        <w:rPr>
          <w:rFonts w:eastAsiaTheme="minorHAnsi"/>
          <w:color w:val="000000"/>
        </w:rPr>
        <w:t>, when state Medicaid coverage provisions conflict with the coverage provisions in this clinical policy, state Medicaid coverage provisions take precedence. Please refer to the state Medicaid manual for any coverage provisions pertaining to this clinical policy.</w:t>
      </w:r>
    </w:p>
    <w:p w14:paraId="25F1065D" w14:textId="77777777" w:rsidR="00504F77" w:rsidRPr="00146C6E" w:rsidRDefault="00504F77" w:rsidP="00504F77">
      <w:pPr>
        <w:rPr>
          <w:rFonts w:eastAsiaTheme="minorHAnsi"/>
        </w:rPr>
      </w:pPr>
    </w:p>
    <w:p w14:paraId="25F1065E" w14:textId="77777777" w:rsidR="00504F77" w:rsidRPr="00146C6E" w:rsidRDefault="00504F77" w:rsidP="00504F77">
      <w:pPr>
        <w:autoSpaceDE w:val="0"/>
        <w:autoSpaceDN w:val="0"/>
        <w:adjustRightInd w:val="0"/>
        <w:rPr>
          <w:color w:val="000000"/>
        </w:rPr>
      </w:pPr>
      <w:r w:rsidRPr="00146C6E">
        <w:rPr>
          <w:rFonts w:eastAsiaTheme="minorHAnsi"/>
          <w:b/>
          <w:bCs/>
          <w:color w:val="000000"/>
        </w:rPr>
        <w:t xml:space="preserve">Note: For Medicare members, </w:t>
      </w:r>
      <w:r w:rsidRPr="00146C6E">
        <w:rPr>
          <w:rFonts w:eastAsiaTheme="minorHAnsi"/>
          <w:color w:val="000000"/>
        </w:rPr>
        <w:t>to ensure consistency with the Medicare National Coverage Determinations (NCD) and Local Coverage Determinations (LCD), all applicable NCDs</w:t>
      </w:r>
      <w:r>
        <w:rPr>
          <w:rFonts w:eastAsiaTheme="minorHAnsi"/>
          <w:color w:val="000000"/>
        </w:rPr>
        <w:t>,</w:t>
      </w:r>
      <w:r w:rsidRPr="00146C6E">
        <w:rPr>
          <w:rFonts w:eastAsiaTheme="minorHAnsi"/>
          <w:color w:val="000000"/>
        </w:rPr>
        <w:t xml:space="preserve"> LCDs</w:t>
      </w:r>
      <w:r>
        <w:rPr>
          <w:rFonts w:eastAsiaTheme="minorHAnsi"/>
          <w:color w:val="000000"/>
        </w:rPr>
        <w:t xml:space="preserve">, and Medicare Coverage Articles </w:t>
      </w:r>
      <w:r w:rsidRPr="00146C6E">
        <w:rPr>
          <w:rFonts w:eastAsiaTheme="minorHAnsi"/>
          <w:color w:val="000000"/>
        </w:rPr>
        <w:t xml:space="preserve">should be reviewed </w:t>
      </w:r>
      <w:r w:rsidRPr="00146C6E">
        <w:rPr>
          <w:rFonts w:eastAsiaTheme="minorHAnsi"/>
          <w:color w:val="000000"/>
          <w:u w:val="single"/>
        </w:rPr>
        <w:t>prior to</w:t>
      </w:r>
      <w:r w:rsidRPr="00146C6E">
        <w:rPr>
          <w:rFonts w:eastAsiaTheme="minorHAnsi"/>
          <w:color w:val="000000"/>
        </w:rPr>
        <w:t xml:space="preserve"> applying the criteria set forth in this clinical policy. Refer to the CMS website at </w:t>
      </w:r>
      <w:hyperlink r:id="rId16" w:history="1">
        <w:r w:rsidRPr="00146C6E">
          <w:rPr>
            <w:rFonts w:eastAsiaTheme="minorHAnsi"/>
            <w:color w:val="000000"/>
            <w:u w:val="single"/>
          </w:rPr>
          <w:t>http://www.cms.gov</w:t>
        </w:r>
      </w:hyperlink>
      <w:r w:rsidRPr="00146C6E">
        <w:rPr>
          <w:rFonts w:eastAsiaTheme="minorHAnsi"/>
          <w:color w:val="000000"/>
        </w:rPr>
        <w:t xml:space="preserve"> for additional information.</w:t>
      </w:r>
      <w:r w:rsidRPr="00146C6E">
        <w:rPr>
          <w:color w:val="000000"/>
        </w:rPr>
        <w:t xml:space="preserve"> </w:t>
      </w:r>
    </w:p>
    <w:p w14:paraId="25F1065F" w14:textId="77777777" w:rsidR="00504F77" w:rsidRPr="00146C6E" w:rsidRDefault="00504F77" w:rsidP="00504F77">
      <w:pPr>
        <w:rPr>
          <w:iCs/>
        </w:rPr>
      </w:pPr>
    </w:p>
    <w:p w14:paraId="25F10660" w14:textId="77777777" w:rsidR="00504F77" w:rsidRPr="00146C6E" w:rsidRDefault="00504F77" w:rsidP="00504F77">
      <w:pPr>
        <w:rPr>
          <w:iCs/>
        </w:rPr>
      </w:pPr>
      <w:r w:rsidRPr="00146C6E">
        <w:rPr>
          <w:iCs/>
        </w:rPr>
        <w:t>©2016 Centene Corporation. All rights reserved.  All materials are exclusively owned by Centene Corporation and are protected by United States copyright law and international copyright law.  No part of this publication may be reproduced, copied, modified, distributed, displayed, stored in a retrieval system, transmitted in any form or by any means, or otherwise published without the prior written permission of Centene Corporation. You may not alter or remove any trademark, copyright or other notice contained herein. Centene</w:t>
      </w:r>
      <w:r w:rsidRPr="00146C6E">
        <w:rPr>
          <w:iCs/>
          <w:vertAlign w:val="superscript"/>
        </w:rPr>
        <w:t>®</w:t>
      </w:r>
      <w:r w:rsidRPr="00146C6E">
        <w:rPr>
          <w:iCs/>
        </w:rPr>
        <w:t xml:space="preserve"> and Centene Corporation</w:t>
      </w:r>
      <w:r w:rsidRPr="00146C6E">
        <w:rPr>
          <w:iCs/>
          <w:vertAlign w:val="superscript"/>
        </w:rPr>
        <w:t>®</w:t>
      </w:r>
      <w:r w:rsidRPr="00146C6E">
        <w:rPr>
          <w:iCs/>
        </w:rPr>
        <w:t xml:space="preserve"> are registered trademarks exclusively owned by Centene Corporation.</w:t>
      </w:r>
    </w:p>
    <w:p w14:paraId="25F10661" w14:textId="77777777" w:rsidR="00C75BD4" w:rsidRDefault="00C75BD4" w:rsidP="00AF5490"/>
    <w:sectPr w:rsidR="00C75BD4" w:rsidSect="00480C09">
      <w:type w:val="continuous"/>
      <w:pgSz w:w="12240" w:h="15840" w:code="1"/>
      <w:pgMar w:top="1440" w:right="1440" w:bottom="1440" w:left="1440" w:header="576"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1A036F" w14:textId="77777777" w:rsidR="001E6143" w:rsidRDefault="001E6143">
      <w:r>
        <w:separator/>
      </w:r>
    </w:p>
  </w:endnote>
  <w:endnote w:type="continuationSeparator" w:id="0">
    <w:p w14:paraId="67035B69" w14:textId="77777777" w:rsidR="001E6143" w:rsidRDefault="001E6143">
      <w:r>
        <w:continuationSeparator/>
      </w:r>
    </w:p>
  </w:endnote>
  <w:endnote w:type="continuationNotice" w:id="1">
    <w:p w14:paraId="05FE799C" w14:textId="77777777" w:rsidR="001E6143" w:rsidRDefault="001E61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10668" w14:textId="3E2BCC03" w:rsidR="006F2915" w:rsidRPr="00D574CA" w:rsidRDefault="006F2915" w:rsidP="00D574CA">
    <w:pPr>
      <w:pStyle w:val="Footer"/>
      <w:jc w:val="center"/>
    </w:pPr>
    <w:r>
      <w:t xml:space="preserve">Page </w:t>
    </w:r>
    <w:r>
      <w:rPr>
        <w:b/>
        <w:bCs/>
      </w:rPr>
      <w:fldChar w:fldCharType="begin"/>
    </w:r>
    <w:r>
      <w:rPr>
        <w:b/>
        <w:bCs/>
      </w:rPr>
      <w:instrText xml:space="preserve"> PAGE </w:instrText>
    </w:r>
    <w:r>
      <w:rPr>
        <w:b/>
        <w:bCs/>
      </w:rPr>
      <w:fldChar w:fldCharType="separate"/>
    </w:r>
    <w:r w:rsidR="003D3228">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3D3228">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1066A" w14:textId="0BE9C4FD" w:rsidR="006F2915" w:rsidRDefault="006F2915" w:rsidP="002C6AAB">
    <w:pPr>
      <w:pStyle w:val="Footer"/>
      <w:jc w:val="center"/>
    </w:pPr>
    <w:r>
      <w:t xml:space="preserve">Page </w:t>
    </w:r>
    <w:r>
      <w:fldChar w:fldCharType="begin"/>
    </w:r>
    <w:r>
      <w:instrText xml:space="preserve"> PAGE   \* MERGEFORMAT </w:instrText>
    </w:r>
    <w:r>
      <w:fldChar w:fldCharType="separate"/>
    </w:r>
    <w:r w:rsidR="003D3228">
      <w:rPr>
        <w:noProof/>
      </w:rPr>
      <w:t>1</w:t>
    </w:r>
    <w:r>
      <w:fldChar w:fldCharType="end"/>
    </w:r>
    <w:r>
      <w:t xml:space="preserve"> of </w:t>
    </w:r>
    <w:r>
      <w:rPr>
        <w:noProof/>
      </w:rPr>
      <w:fldChar w:fldCharType="begin"/>
    </w:r>
    <w:r>
      <w:rPr>
        <w:noProof/>
      </w:rPr>
      <w:instrText xml:space="preserve"> NUMPAGES   \* MERGEFORMAT </w:instrText>
    </w:r>
    <w:r>
      <w:rPr>
        <w:noProof/>
      </w:rPr>
      <w:fldChar w:fldCharType="separate"/>
    </w:r>
    <w:r w:rsidR="003D3228">
      <w:rPr>
        <w:noProof/>
      </w:rPr>
      <w:t>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BF7F4B" w14:textId="77777777" w:rsidR="001E6143" w:rsidRDefault="001E6143">
      <w:r>
        <w:separator/>
      </w:r>
    </w:p>
  </w:footnote>
  <w:footnote w:type="continuationSeparator" w:id="0">
    <w:p w14:paraId="5E19750A" w14:textId="77777777" w:rsidR="001E6143" w:rsidRDefault="001E6143">
      <w:r>
        <w:continuationSeparator/>
      </w:r>
    </w:p>
  </w:footnote>
  <w:footnote w:type="continuationNotice" w:id="1">
    <w:p w14:paraId="705EA206" w14:textId="77777777" w:rsidR="001E6143" w:rsidRDefault="001E614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10666" w14:textId="77777777" w:rsidR="006F2915" w:rsidRPr="00B777AF" w:rsidRDefault="006F2915" w:rsidP="00480C09">
    <w:pPr>
      <w:rPr>
        <w:rFonts w:ascii="Times New Roman Bold" w:hAnsi="Times New Roman Bold"/>
        <w:b/>
        <w:bCs/>
        <w:smallCaps/>
        <w:color w:val="00548C"/>
        <w:sz w:val="28"/>
      </w:rPr>
    </w:pPr>
    <w:r w:rsidRPr="00B777AF">
      <w:rPr>
        <w:rFonts w:ascii="Times New Roman Bold" w:hAnsi="Times New Roman Bold"/>
        <w:b/>
        <w:bCs/>
        <w:smallCaps/>
        <w:color w:val="00548C"/>
        <w:sz w:val="28"/>
      </w:rPr>
      <w:t>Clinical Policy</w:t>
    </w:r>
    <w:r w:rsidRPr="00B777AF">
      <w:rPr>
        <w:rFonts w:ascii="Times New Roman Bold" w:hAnsi="Times New Roman Bold"/>
        <w:b/>
        <w:bCs/>
        <w:smallCaps/>
        <w:color w:val="00548C"/>
        <w:sz w:val="28"/>
      </w:rPr>
      <w:tab/>
    </w:r>
    <w:r>
      <w:rPr>
        <w:rFonts w:ascii="Times New Roman Bold" w:hAnsi="Times New Roman Bold"/>
        <w:b/>
        <w:bCs/>
        <w:smallCaps/>
        <w:color w:val="00548C"/>
        <w:sz w:val="28"/>
      </w:rPr>
      <w:tab/>
    </w:r>
    <w:r>
      <w:rPr>
        <w:rFonts w:ascii="Times New Roman Bold" w:hAnsi="Times New Roman Bold"/>
        <w:b/>
        <w:bCs/>
        <w:smallCaps/>
        <w:color w:val="00548C"/>
        <w:sz w:val="28"/>
      </w:rPr>
      <w:tab/>
    </w:r>
    <w:r>
      <w:rPr>
        <w:rFonts w:ascii="Times New Roman Bold" w:hAnsi="Times New Roman Bold"/>
        <w:b/>
        <w:bCs/>
        <w:smallCaps/>
        <w:color w:val="00548C"/>
        <w:sz w:val="28"/>
      </w:rPr>
      <w:tab/>
    </w:r>
    <w:r>
      <w:rPr>
        <w:rFonts w:ascii="Times New Roman Bold" w:hAnsi="Times New Roman Bold"/>
        <w:b/>
        <w:bCs/>
        <w:smallCaps/>
        <w:color w:val="00548C"/>
        <w:sz w:val="28"/>
      </w:rPr>
      <w:tab/>
    </w:r>
    <w:r>
      <w:rPr>
        <w:rFonts w:ascii="Times New Roman Bold" w:hAnsi="Times New Roman Bold"/>
        <w:b/>
        <w:bCs/>
        <w:smallCaps/>
        <w:color w:val="00548C"/>
        <w:sz w:val="28"/>
      </w:rPr>
      <w:tab/>
    </w:r>
    <w:r>
      <w:rPr>
        <w:rFonts w:ascii="Times New Roman Bold" w:hAnsi="Times New Roman Bold"/>
        <w:b/>
        <w:bCs/>
        <w:smallCaps/>
        <w:color w:val="00548C"/>
        <w:sz w:val="28"/>
      </w:rPr>
      <w:tab/>
    </w:r>
    <w:r>
      <w:rPr>
        <w:rFonts w:ascii="Times New Roman Bold" w:hAnsi="Times New Roman Bold"/>
        <w:b/>
        <w:bCs/>
        <w:smallCaps/>
        <w:color w:val="00548C"/>
        <w:sz w:val="28"/>
      </w:rPr>
      <w:tab/>
    </w:r>
    <w:r>
      <w:rPr>
        <w:noProof/>
        <w:color w:val="00548C"/>
      </w:rPr>
      <w:drawing>
        <wp:inline distT="0" distB="0" distL="0" distR="0" wp14:anchorId="25F1066B" wp14:editId="25F1066C">
          <wp:extent cx="914400" cy="238125"/>
          <wp:effectExtent l="0" t="0" r="0" b="9525"/>
          <wp:docPr id="1" name="Picture 3" descr="http://intranet/companywidesites/marketing/Corporate%20Marketing%20Materials/Centene%20Corporate%20Logos/Centene%20Color%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ntranet/companywidesites/marketing/Corporate%20Marketing%20Materials/Centene%20Corporate%20Logos/Centene%20Color%20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238125"/>
                  </a:xfrm>
                  <a:prstGeom prst="rect">
                    <a:avLst/>
                  </a:prstGeom>
                  <a:noFill/>
                  <a:ln>
                    <a:noFill/>
                  </a:ln>
                </pic:spPr>
              </pic:pic>
            </a:graphicData>
          </a:graphic>
        </wp:inline>
      </w:drawing>
    </w:r>
  </w:p>
  <w:p w14:paraId="25F10667" w14:textId="77777777" w:rsidR="006F2915" w:rsidRPr="00B777AF" w:rsidRDefault="006F2915" w:rsidP="00B777AF">
    <w:pPr>
      <w:rPr>
        <w:color w:val="00548C"/>
      </w:rPr>
    </w:pPr>
    <w:r>
      <w:rPr>
        <w:rFonts w:ascii="Times New Roman Bold" w:hAnsi="Times New Roman Bold"/>
        <w:b/>
        <w:bCs/>
        <w:color w:val="00548C"/>
      </w:rPr>
      <w:t>Ambulatory EEG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10669" w14:textId="77777777" w:rsidR="006F2915" w:rsidRDefault="006F2915" w:rsidP="00B777AF">
    <w:pPr>
      <w:pStyle w:val="Header"/>
      <w:jc w:val="right"/>
    </w:pPr>
    <w:r>
      <w:rPr>
        <w:noProof/>
      </w:rPr>
      <w:drawing>
        <wp:inline distT="0" distB="0" distL="0" distR="0" wp14:anchorId="25F1066D" wp14:editId="25F1066E">
          <wp:extent cx="1371600" cy="352425"/>
          <wp:effectExtent l="0" t="0" r="0" b="9525"/>
          <wp:docPr id="2" name="Picture 2" descr="http://intranet/companywidesites/marketing/Corporate%20Marketing%20Materials/Centene%20Corporate%20Logos/Centene%20Color%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net/companywidesites/marketing/Corporate%20Marketing%20Materials/Centene%20Corporate%20Logos/Centene%20Color%20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524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F5AE7"/>
    <w:multiLevelType w:val="hybridMultilevel"/>
    <w:tmpl w:val="371A41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687B32"/>
    <w:multiLevelType w:val="hybridMultilevel"/>
    <w:tmpl w:val="C13812BE"/>
    <w:lvl w:ilvl="0" w:tplc="D020EC3C">
      <w:start w:val="1"/>
      <w:numFmt w:val="decimal"/>
      <w:lvlText w:val="%1."/>
      <w:lvlJc w:val="left"/>
      <w:pPr>
        <w:ind w:left="720" w:hanging="360"/>
      </w:pPr>
      <w:rPr>
        <w:rFonts w:ascii="Cambria" w:hAnsi="Cambria" w:hint="default"/>
        <w:b w:val="0"/>
        <w:i w:val="0"/>
        <w:color w:val="auto"/>
        <w:sz w:val="24"/>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E7697"/>
    <w:multiLevelType w:val="hybridMultilevel"/>
    <w:tmpl w:val="F2203CC0"/>
    <w:lvl w:ilvl="0" w:tplc="F1E45706">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2D1E47"/>
    <w:multiLevelType w:val="hybridMultilevel"/>
    <w:tmpl w:val="2E68934A"/>
    <w:lvl w:ilvl="0" w:tplc="E9BC8E80">
      <w:start w:val="1"/>
      <w:numFmt w:val="upperLetter"/>
      <w:lvlText w:val="%1."/>
      <w:lvlJc w:val="left"/>
      <w:pPr>
        <w:ind w:left="720" w:hanging="360"/>
      </w:pPr>
      <w:rPr>
        <w:rFonts w:hint="default"/>
        <w:b/>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251B1E"/>
    <w:multiLevelType w:val="hybridMultilevel"/>
    <w:tmpl w:val="B204E92A"/>
    <w:lvl w:ilvl="0" w:tplc="26CA68AC">
      <w:start w:val="1"/>
      <w:numFmt w:val="upperRoman"/>
      <w:lvlText w:val="%1."/>
      <w:lvlJc w:val="left"/>
      <w:pPr>
        <w:ind w:left="720" w:hanging="360"/>
      </w:pPr>
      <w:rPr>
        <w:rFonts w:hint="default"/>
        <w:b/>
      </w:rPr>
    </w:lvl>
    <w:lvl w:ilvl="1" w:tplc="56CC320A">
      <w:start w:val="1"/>
      <w:numFmt w:val="upperLetter"/>
      <w:lvlText w:val="%2."/>
      <w:lvlJc w:val="left"/>
      <w:pPr>
        <w:ind w:left="1440" w:hanging="360"/>
      </w:pPr>
      <w:rPr>
        <w:b/>
      </w:rPr>
    </w:lvl>
    <w:lvl w:ilvl="2" w:tplc="B0D8E88E">
      <w:start w:val="1"/>
      <w:numFmt w:val="decimal"/>
      <w:lvlText w:val="%3."/>
      <w:lvlJc w:val="left"/>
      <w:pPr>
        <w:ind w:left="2160" w:hanging="180"/>
      </w:pPr>
      <w:rPr>
        <w:b/>
      </w:r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6B68E6"/>
    <w:multiLevelType w:val="hybridMultilevel"/>
    <w:tmpl w:val="F330294A"/>
    <w:lvl w:ilvl="0" w:tplc="D0FE5CC8">
      <w:start w:val="1"/>
      <w:numFmt w:val="lowerRoman"/>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 w15:restartNumberingAfterBreak="0">
    <w:nsid w:val="3A231C77"/>
    <w:multiLevelType w:val="hybridMultilevel"/>
    <w:tmpl w:val="553682CE"/>
    <w:lvl w:ilvl="0" w:tplc="A244BB9A">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C500A99"/>
    <w:multiLevelType w:val="hybridMultilevel"/>
    <w:tmpl w:val="9548845C"/>
    <w:lvl w:ilvl="0" w:tplc="26CA68AC">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742BAB"/>
    <w:multiLevelType w:val="hybridMultilevel"/>
    <w:tmpl w:val="782CC3E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EB29F5"/>
    <w:multiLevelType w:val="hybridMultilevel"/>
    <w:tmpl w:val="50508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9C1206"/>
    <w:multiLevelType w:val="hybridMultilevel"/>
    <w:tmpl w:val="22849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D1434D"/>
    <w:multiLevelType w:val="hybridMultilevel"/>
    <w:tmpl w:val="3806A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D83089"/>
    <w:multiLevelType w:val="hybridMultilevel"/>
    <w:tmpl w:val="53BE3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3E10B5"/>
    <w:multiLevelType w:val="hybridMultilevel"/>
    <w:tmpl w:val="618CB542"/>
    <w:lvl w:ilvl="0" w:tplc="41745BB8">
      <w:start w:val="1"/>
      <w:numFmt w:val="bullet"/>
      <w:lvlText w:val=""/>
      <w:lvlJc w:val="left"/>
      <w:pPr>
        <w:tabs>
          <w:tab w:val="num" w:pos="720"/>
        </w:tabs>
        <w:ind w:left="720" w:hanging="360"/>
      </w:pPr>
      <w:rPr>
        <w:rFonts w:ascii="Symbol" w:hAnsi="Symbol" w:hint="default"/>
        <w:sz w:val="20"/>
      </w:rPr>
    </w:lvl>
    <w:lvl w:ilvl="1" w:tplc="28DA9A74" w:tentative="1">
      <w:start w:val="1"/>
      <w:numFmt w:val="bullet"/>
      <w:lvlText w:val="o"/>
      <w:lvlJc w:val="left"/>
      <w:pPr>
        <w:tabs>
          <w:tab w:val="num" w:pos="1440"/>
        </w:tabs>
        <w:ind w:left="1440" w:hanging="360"/>
      </w:pPr>
      <w:rPr>
        <w:rFonts w:ascii="Courier New" w:hAnsi="Courier New" w:hint="default"/>
        <w:sz w:val="20"/>
      </w:rPr>
    </w:lvl>
    <w:lvl w:ilvl="2" w:tplc="04F23BE2" w:tentative="1">
      <w:start w:val="1"/>
      <w:numFmt w:val="bullet"/>
      <w:lvlText w:val=""/>
      <w:lvlJc w:val="left"/>
      <w:pPr>
        <w:tabs>
          <w:tab w:val="num" w:pos="2160"/>
        </w:tabs>
        <w:ind w:left="2160" w:hanging="360"/>
      </w:pPr>
      <w:rPr>
        <w:rFonts w:ascii="Wingdings" w:hAnsi="Wingdings" w:hint="default"/>
        <w:sz w:val="20"/>
      </w:rPr>
    </w:lvl>
    <w:lvl w:ilvl="3" w:tplc="B36E250C" w:tentative="1">
      <w:start w:val="1"/>
      <w:numFmt w:val="bullet"/>
      <w:lvlText w:val=""/>
      <w:lvlJc w:val="left"/>
      <w:pPr>
        <w:tabs>
          <w:tab w:val="num" w:pos="2880"/>
        </w:tabs>
        <w:ind w:left="2880" w:hanging="360"/>
      </w:pPr>
      <w:rPr>
        <w:rFonts w:ascii="Wingdings" w:hAnsi="Wingdings" w:hint="default"/>
        <w:sz w:val="20"/>
      </w:rPr>
    </w:lvl>
    <w:lvl w:ilvl="4" w:tplc="A98011B6" w:tentative="1">
      <w:start w:val="1"/>
      <w:numFmt w:val="bullet"/>
      <w:lvlText w:val=""/>
      <w:lvlJc w:val="left"/>
      <w:pPr>
        <w:tabs>
          <w:tab w:val="num" w:pos="3600"/>
        </w:tabs>
        <w:ind w:left="3600" w:hanging="360"/>
      </w:pPr>
      <w:rPr>
        <w:rFonts w:ascii="Wingdings" w:hAnsi="Wingdings" w:hint="default"/>
        <w:sz w:val="20"/>
      </w:rPr>
    </w:lvl>
    <w:lvl w:ilvl="5" w:tplc="B5309476" w:tentative="1">
      <w:start w:val="1"/>
      <w:numFmt w:val="bullet"/>
      <w:lvlText w:val=""/>
      <w:lvlJc w:val="left"/>
      <w:pPr>
        <w:tabs>
          <w:tab w:val="num" w:pos="4320"/>
        </w:tabs>
        <w:ind w:left="4320" w:hanging="360"/>
      </w:pPr>
      <w:rPr>
        <w:rFonts w:ascii="Wingdings" w:hAnsi="Wingdings" w:hint="default"/>
        <w:sz w:val="20"/>
      </w:rPr>
    </w:lvl>
    <w:lvl w:ilvl="6" w:tplc="D5DCFE88" w:tentative="1">
      <w:start w:val="1"/>
      <w:numFmt w:val="bullet"/>
      <w:lvlText w:val=""/>
      <w:lvlJc w:val="left"/>
      <w:pPr>
        <w:tabs>
          <w:tab w:val="num" w:pos="5040"/>
        </w:tabs>
        <w:ind w:left="5040" w:hanging="360"/>
      </w:pPr>
      <w:rPr>
        <w:rFonts w:ascii="Wingdings" w:hAnsi="Wingdings" w:hint="default"/>
        <w:sz w:val="20"/>
      </w:rPr>
    </w:lvl>
    <w:lvl w:ilvl="7" w:tplc="700E33C4" w:tentative="1">
      <w:start w:val="1"/>
      <w:numFmt w:val="bullet"/>
      <w:lvlText w:val=""/>
      <w:lvlJc w:val="left"/>
      <w:pPr>
        <w:tabs>
          <w:tab w:val="num" w:pos="5760"/>
        </w:tabs>
        <w:ind w:left="5760" w:hanging="360"/>
      </w:pPr>
      <w:rPr>
        <w:rFonts w:ascii="Wingdings" w:hAnsi="Wingdings" w:hint="default"/>
        <w:sz w:val="20"/>
      </w:rPr>
    </w:lvl>
    <w:lvl w:ilvl="8" w:tplc="2C6EEB8C"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0"/>
  </w:num>
  <w:num w:numId="3">
    <w:abstractNumId w:val="4"/>
  </w:num>
  <w:num w:numId="4">
    <w:abstractNumId w:val="5"/>
  </w:num>
  <w:num w:numId="5">
    <w:abstractNumId w:val="6"/>
  </w:num>
  <w:num w:numId="6">
    <w:abstractNumId w:val="10"/>
  </w:num>
  <w:num w:numId="7">
    <w:abstractNumId w:val="11"/>
  </w:num>
  <w:num w:numId="8">
    <w:abstractNumId w:val="2"/>
  </w:num>
  <w:num w:numId="9">
    <w:abstractNumId w:val="12"/>
  </w:num>
  <w:num w:numId="10">
    <w:abstractNumId w:val="3"/>
  </w:num>
  <w:num w:numId="11">
    <w:abstractNumId w:val="9"/>
  </w:num>
  <w:num w:numId="12">
    <w:abstractNumId w:val="7"/>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DE9"/>
    <w:rsid w:val="000223A7"/>
    <w:rsid w:val="000465DE"/>
    <w:rsid w:val="0004733E"/>
    <w:rsid w:val="00060509"/>
    <w:rsid w:val="00065432"/>
    <w:rsid w:val="00080E88"/>
    <w:rsid w:val="00083740"/>
    <w:rsid w:val="000B6E63"/>
    <w:rsid w:val="000E7DFD"/>
    <w:rsid w:val="000F10C2"/>
    <w:rsid w:val="0011304A"/>
    <w:rsid w:val="00127EF4"/>
    <w:rsid w:val="001364A4"/>
    <w:rsid w:val="0014316D"/>
    <w:rsid w:val="00150539"/>
    <w:rsid w:val="00170B14"/>
    <w:rsid w:val="00173220"/>
    <w:rsid w:val="001818D7"/>
    <w:rsid w:val="00181DF1"/>
    <w:rsid w:val="00185104"/>
    <w:rsid w:val="001866C1"/>
    <w:rsid w:val="0019143A"/>
    <w:rsid w:val="001962BE"/>
    <w:rsid w:val="00196689"/>
    <w:rsid w:val="00196935"/>
    <w:rsid w:val="0019746F"/>
    <w:rsid w:val="001C72C3"/>
    <w:rsid w:val="001D0D34"/>
    <w:rsid w:val="001D5D2E"/>
    <w:rsid w:val="001D70D4"/>
    <w:rsid w:val="001E6143"/>
    <w:rsid w:val="001E6971"/>
    <w:rsid w:val="001E7D12"/>
    <w:rsid w:val="001F054E"/>
    <w:rsid w:val="00201901"/>
    <w:rsid w:val="0020675F"/>
    <w:rsid w:val="00220736"/>
    <w:rsid w:val="00230612"/>
    <w:rsid w:val="00230FE4"/>
    <w:rsid w:val="00233651"/>
    <w:rsid w:val="00234FF0"/>
    <w:rsid w:val="00253095"/>
    <w:rsid w:val="00254020"/>
    <w:rsid w:val="0025452A"/>
    <w:rsid w:val="00285997"/>
    <w:rsid w:val="002A39EE"/>
    <w:rsid w:val="002C6AAB"/>
    <w:rsid w:val="002D019A"/>
    <w:rsid w:val="002E48E7"/>
    <w:rsid w:val="00305177"/>
    <w:rsid w:val="003140D6"/>
    <w:rsid w:val="00333091"/>
    <w:rsid w:val="0034317A"/>
    <w:rsid w:val="00350F22"/>
    <w:rsid w:val="00353C87"/>
    <w:rsid w:val="0036214C"/>
    <w:rsid w:val="00370A4A"/>
    <w:rsid w:val="00375FE7"/>
    <w:rsid w:val="003840CC"/>
    <w:rsid w:val="00396D3E"/>
    <w:rsid w:val="003D3228"/>
    <w:rsid w:val="003D7BE7"/>
    <w:rsid w:val="003E4667"/>
    <w:rsid w:val="003E5E4D"/>
    <w:rsid w:val="004434BA"/>
    <w:rsid w:val="00464434"/>
    <w:rsid w:val="004679DC"/>
    <w:rsid w:val="00472C6C"/>
    <w:rsid w:val="0047549D"/>
    <w:rsid w:val="00480C09"/>
    <w:rsid w:val="0049597D"/>
    <w:rsid w:val="00496BCF"/>
    <w:rsid w:val="00497AED"/>
    <w:rsid w:val="004C472E"/>
    <w:rsid w:val="004C7CB4"/>
    <w:rsid w:val="004D0FC0"/>
    <w:rsid w:val="004E0B99"/>
    <w:rsid w:val="004E6995"/>
    <w:rsid w:val="004F0B78"/>
    <w:rsid w:val="004F6394"/>
    <w:rsid w:val="004F650E"/>
    <w:rsid w:val="00504F77"/>
    <w:rsid w:val="00505830"/>
    <w:rsid w:val="005103B8"/>
    <w:rsid w:val="00511181"/>
    <w:rsid w:val="00516251"/>
    <w:rsid w:val="00526F73"/>
    <w:rsid w:val="005423D4"/>
    <w:rsid w:val="005537B0"/>
    <w:rsid w:val="00553BEE"/>
    <w:rsid w:val="00575C3B"/>
    <w:rsid w:val="00583376"/>
    <w:rsid w:val="00590EBF"/>
    <w:rsid w:val="00595A95"/>
    <w:rsid w:val="005C17DF"/>
    <w:rsid w:val="005C1AEB"/>
    <w:rsid w:val="005C3607"/>
    <w:rsid w:val="005D009F"/>
    <w:rsid w:val="005D0E32"/>
    <w:rsid w:val="005D5146"/>
    <w:rsid w:val="005E411E"/>
    <w:rsid w:val="005F29C8"/>
    <w:rsid w:val="0061082D"/>
    <w:rsid w:val="00644B9D"/>
    <w:rsid w:val="006474BB"/>
    <w:rsid w:val="00661C7E"/>
    <w:rsid w:val="006664E9"/>
    <w:rsid w:val="00685761"/>
    <w:rsid w:val="0068616F"/>
    <w:rsid w:val="006978D7"/>
    <w:rsid w:val="006C29B1"/>
    <w:rsid w:val="006C3115"/>
    <w:rsid w:val="006D166D"/>
    <w:rsid w:val="006F2915"/>
    <w:rsid w:val="006F4D70"/>
    <w:rsid w:val="00732755"/>
    <w:rsid w:val="00744250"/>
    <w:rsid w:val="0075464D"/>
    <w:rsid w:val="00773E8F"/>
    <w:rsid w:val="007764CE"/>
    <w:rsid w:val="0077695C"/>
    <w:rsid w:val="00794B4B"/>
    <w:rsid w:val="007974C2"/>
    <w:rsid w:val="007A0BCC"/>
    <w:rsid w:val="007A688D"/>
    <w:rsid w:val="007B07AE"/>
    <w:rsid w:val="007B50D0"/>
    <w:rsid w:val="007D4801"/>
    <w:rsid w:val="007D760F"/>
    <w:rsid w:val="007F1F19"/>
    <w:rsid w:val="0080215C"/>
    <w:rsid w:val="00805CE8"/>
    <w:rsid w:val="008066EB"/>
    <w:rsid w:val="008141EF"/>
    <w:rsid w:val="008142D9"/>
    <w:rsid w:val="00822615"/>
    <w:rsid w:val="008573FF"/>
    <w:rsid w:val="00857C10"/>
    <w:rsid w:val="00875924"/>
    <w:rsid w:val="00877EC7"/>
    <w:rsid w:val="008829AA"/>
    <w:rsid w:val="00896E94"/>
    <w:rsid w:val="00897E4E"/>
    <w:rsid w:val="008B0705"/>
    <w:rsid w:val="008B3C4F"/>
    <w:rsid w:val="008C6B3A"/>
    <w:rsid w:val="008E30A9"/>
    <w:rsid w:val="00902C9B"/>
    <w:rsid w:val="009135E0"/>
    <w:rsid w:val="00915CA4"/>
    <w:rsid w:val="00920F26"/>
    <w:rsid w:val="009410FB"/>
    <w:rsid w:val="00961071"/>
    <w:rsid w:val="00963062"/>
    <w:rsid w:val="009735FA"/>
    <w:rsid w:val="00977ECA"/>
    <w:rsid w:val="00982180"/>
    <w:rsid w:val="009928B2"/>
    <w:rsid w:val="009A702C"/>
    <w:rsid w:val="009B4B14"/>
    <w:rsid w:val="009C61B2"/>
    <w:rsid w:val="009E6F29"/>
    <w:rsid w:val="009F3448"/>
    <w:rsid w:val="00A22C39"/>
    <w:rsid w:val="00A35C39"/>
    <w:rsid w:val="00A41969"/>
    <w:rsid w:val="00A53885"/>
    <w:rsid w:val="00A54DF8"/>
    <w:rsid w:val="00A576D6"/>
    <w:rsid w:val="00A60413"/>
    <w:rsid w:val="00A83658"/>
    <w:rsid w:val="00A85489"/>
    <w:rsid w:val="00A87B1F"/>
    <w:rsid w:val="00AA336E"/>
    <w:rsid w:val="00AA428E"/>
    <w:rsid w:val="00AC0660"/>
    <w:rsid w:val="00AD1AA6"/>
    <w:rsid w:val="00AF1F2A"/>
    <w:rsid w:val="00AF30EF"/>
    <w:rsid w:val="00AF5490"/>
    <w:rsid w:val="00B4633B"/>
    <w:rsid w:val="00B63F6B"/>
    <w:rsid w:val="00B777AF"/>
    <w:rsid w:val="00B81789"/>
    <w:rsid w:val="00B869F2"/>
    <w:rsid w:val="00B916FA"/>
    <w:rsid w:val="00B92DF1"/>
    <w:rsid w:val="00BB1BA8"/>
    <w:rsid w:val="00BF4150"/>
    <w:rsid w:val="00C03F9E"/>
    <w:rsid w:val="00C079B0"/>
    <w:rsid w:val="00C14250"/>
    <w:rsid w:val="00C2297C"/>
    <w:rsid w:val="00C37EE2"/>
    <w:rsid w:val="00C409A4"/>
    <w:rsid w:val="00C4505A"/>
    <w:rsid w:val="00C47D4C"/>
    <w:rsid w:val="00C64BB4"/>
    <w:rsid w:val="00C73CF5"/>
    <w:rsid w:val="00C75BD4"/>
    <w:rsid w:val="00CA0008"/>
    <w:rsid w:val="00CA269E"/>
    <w:rsid w:val="00CA53B9"/>
    <w:rsid w:val="00CA5C08"/>
    <w:rsid w:val="00CA7794"/>
    <w:rsid w:val="00CF2624"/>
    <w:rsid w:val="00D36448"/>
    <w:rsid w:val="00D43D0D"/>
    <w:rsid w:val="00D574CA"/>
    <w:rsid w:val="00D7145F"/>
    <w:rsid w:val="00D71BC4"/>
    <w:rsid w:val="00D768FA"/>
    <w:rsid w:val="00D830B2"/>
    <w:rsid w:val="00DB0BB7"/>
    <w:rsid w:val="00DB1DE9"/>
    <w:rsid w:val="00DB513A"/>
    <w:rsid w:val="00DD025A"/>
    <w:rsid w:val="00DD7D7A"/>
    <w:rsid w:val="00DE18E2"/>
    <w:rsid w:val="00DE286B"/>
    <w:rsid w:val="00DE6CC2"/>
    <w:rsid w:val="00E345D4"/>
    <w:rsid w:val="00E97C17"/>
    <w:rsid w:val="00EA3809"/>
    <w:rsid w:val="00ED0A0D"/>
    <w:rsid w:val="00F03DC0"/>
    <w:rsid w:val="00F24946"/>
    <w:rsid w:val="00F2705D"/>
    <w:rsid w:val="00F422E1"/>
    <w:rsid w:val="00F440BA"/>
    <w:rsid w:val="00F63EB8"/>
    <w:rsid w:val="00F71F8E"/>
    <w:rsid w:val="00F74762"/>
    <w:rsid w:val="00F81EA2"/>
    <w:rsid w:val="00F95133"/>
    <w:rsid w:val="00FB0592"/>
    <w:rsid w:val="00FB139B"/>
    <w:rsid w:val="00FB34A0"/>
    <w:rsid w:val="00FC0EC4"/>
    <w:rsid w:val="00FE290A"/>
    <w:rsid w:val="00FF4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5F105EA"/>
  <w15:docId w15:val="{A543FE1A-92F4-4CB5-AE5B-641FAA117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eastAsia="Arial Unicode MS"/>
      <w:b/>
      <w:bCs/>
      <w:sz w:val="20"/>
      <w:szCs w:val="12"/>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szCs w:val="20"/>
    </w:rPr>
  </w:style>
  <w:style w:type="paragraph" w:styleId="Heading6">
    <w:name w:val="heading 6"/>
    <w:basedOn w:val="Normal"/>
    <w:next w:val="Normal"/>
    <w:qFormat/>
    <w:pPr>
      <w:keepNext/>
      <w:tabs>
        <w:tab w:val="num" w:pos="0"/>
      </w:tabs>
      <w:jc w:val="center"/>
      <w:outlineLvl w:val="5"/>
    </w:pPr>
    <w:rPr>
      <w:b/>
      <w:szCs w:val="20"/>
    </w:rPr>
  </w:style>
  <w:style w:type="paragraph" w:styleId="Heading7">
    <w:name w:val="heading 7"/>
    <w:basedOn w:val="Normal"/>
    <w:next w:val="Normal"/>
    <w:qFormat/>
    <w:pPr>
      <w:keepNext/>
      <w:outlineLvl w:val="6"/>
    </w:pPr>
    <w:rPr>
      <w:rFonts w:ascii="Bookman Old Style" w:hAnsi="Bookman Old Style"/>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b/>
      <w:bCs/>
      <w:szCs w:val="20"/>
    </w:rPr>
  </w:style>
  <w:style w:type="character" w:customStyle="1" w:styleId="EmailStyle20">
    <w:name w:val="EmailStyle20"/>
    <w:rPr>
      <w:rFonts w:ascii="Arial" w:hAnsi="Arial" w:cs="Arial"/>
      <w:color w:val="000000"/>
      <w:sz w:val="20"/>
      <w:szCs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Strong">
    <w:name w:val="Strong"/>
    <w:qFormat/>
    <w:rPr>
      <w:b/>
      <w:bCs/>
    </w:rPr>
  </w:style>
  <w:style w:type="character" w:styleId="Hyperlink">
    <w:name w:val="Hyperlink"/>
    <w:rsid w:val="004E0B99"/>
    <w:rPr>
      <w:color w:val="0000FF"/>
      <w:u w:val="single"/>
    </w:rPr>
  </w:style>
  <w:style w:type="character" w:styleId="FollowedHyperlink">
    <w:name w:val="FollowedHyperlink"/>
    <w:rsid w:val="00AF1F2A"/>
    <w:rPr>
      <w:color w:val="800080"/>
      <w:u w:val="single"/>
    </w:rPr>
  </w:style>
  <w:style w:type="paragraph" w:styleId="BalloonText">
    <w:name w:val="Balloon Text"/>
    <w:basedOn w:val="Normal"/>
    <w:semiHidden/>
    <w:rsid w:val="00A87B1F"/>
    <w:rPr>
      <w:rFonts w:ascii="Tahoma" w:hAnsi="Tahoma" w:cs="Tahoma"/>
      <w:sz w:val="16"/>
      <w:szCs w:val="16"/>
    </w:rPr>
  </w:style>
  <w:style w:type="table" w:styleId="TableTheme">
    <w:name w:val="Table Theme"/>
    <w:basedOn w:val="TableNormal"/>
    <w:rsid w:val="00D36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MainHead">
    <w:name w:val="Policy Main Head"/>
    <w:basedOn w:val="Normal"/>
    <w:rsid w:val="00D574CA"/>
    <w:pPr>
      <w:widowControl w:val="0"/>
      <w:spacing w:after="200" w:line="276" w:lineRule="auto"/>
    </w:pPr>
    <w:rPr>
      <w:rFonts w:ascii="Arial Narrow" w:hAnsi="Arial Narrow"/>
      <w:noProof/>
      <w:color w:val="11406B"/>
      <w:sz w:val="48"/>
      <w:szCs w:val="48"/>
    </w:rPr>
  </w:style>
  <w:style w:type="character" w:customStyle="1" w:styleId="FooterChar">
    <w:name w:val="Footer Char"/>
    <w:link w:val="Footer"/>
    <w:uiPriority w:val="99"/>
    <w:rsid w:val="00D574CA"/>
    <w:rPr>
      <w:sz w:val="24"/>
      <w:szCs w:val="24"/>
    </w:rPr>
  </w:style>
  <w:style w:type="table" w:styleId="LightList-Accent1">
    <w:name w:val="Light List Accent 1"/>
    <w:basedOn w:val="TableNormal"/>
    <w:uiPriority w:val="61"/>
    <w:rsid w:val="005423D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Grid">
    <w:name w:val="Table Grid"/>
    <w:basedOn w:val="TableNormal"/>
    <w:rsid w:val="00B77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09A4"/>
    <w:pPr>
      <w:spacing w:after="200" w:line="276" w:lineRule="auto"/>
      <w:ind w:left="720"/>
      <w:contextualSpacing/>
    </w:pPr>
    <w:rPr>
      <w:rFonts w:ascii="Calibri" w:hAnsi="Calibri"/>
      <w:sz w:val="22"/>
      <w:szCs w:val="22"/>
    </w:rPr>
  </w:style>
  <w:style w:type="character" w:styleId="CommentReference">
    <w:name w:val="annotation reference"/>
    <w:basedOn w:val="DefaultParagraphFont"/>
    <w:semiHidden/>
    <w:unhideWhenUsed/>
    <w:rsid w:val="00DB513A"/>
    <w:rPr>
      <w:sz w:val="16"/>
      <w:szCs w:val="16"/>
    </w:rPr>
  </w:style>
  <w:style w:type="paragraph" w:styleId="CommentText">
    <w:name w:val="annotation text"/>
    <w:basedOn w:val="Normal"/>
    <w:link w:val="CommentTextChar"/>
    <w:semiHidden/>
    <w:unhideWhenUsed/>
    <w:rsid w:val="00DB513A"/>
    <w:rPr>
      <w:sz w:val="20"/>
      <w:szCs w:val="20"/>
    </w:rPr>
  </w:style>
  <w:style w:type="character" w:customStyle="1" w:styleId="CommentTextChar">
    <w:name w:val="Comment Text Char"/>
    <w:basedOn w:val="DefaultParagraphFont"/>
    <w:link w:val="CommentText"/>
    <w:semiHidden/>
    <w:rsid w:val="00DB513A"/>
  </w:style>
  <w:style w:type="paragraph" w:styleId="CommentSubject">
    <w:name w:val="annotation subject"/>
    <w:basedOn w:val="CommentText"/>
    <w:next w:val="CommentText"/>
    <w:link w:val="CommentSubjectChar"/>
    <w:semiHidden/>
    <w:unhideWhenUsed/>
    <w:rsid w:val="00DB513A"/>
    <w:rPr>
      <w:b/>
      <w:bCs/>
    </w:rPr>
  </w:style>
  <w:style w:type="character" w:customStyle="1" w:styleId="CommentSubjectChar">
    <w:name w:val="Comment Subject Char"/>
    <w:basedOn w:val="CommentTextChar"/>
    <w:link w:val="CommentSubject"/>
    <w:semiHidden/>
    <w:rsid w:val="00DB513A"/>
    <w:rPr>
      <w:b/>
      <w:bCs/>
    </w:rPr>
  </w:style>
  <w:style w:type="paragraph" w:styleId="Revision">
    <w:name w:val="Revision"/>
    <w:hidden/>
    <w:uiPriority w:val="99"/>
    <w:semiHidden/>
    <w:rsid w:val="00DB513A"/>
    <w:rPr>
      <w:sz w:val="24"/>
      <w:szCs w:val="24"/>
    </w:rPr>
  </w:style>
  <w:style w:type="character" w:customStyle="1" w:styleId="jrnl">
    <w:name w:val="jrnl"/>
    <w:basedOn w:val="DefaultParagraphFont"/>
    <w:rsid w:val="001E6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348475">
      <w:bodyDiv w:val="1"/>
      <w:marLeft w:val="0"/>
      <w:marRight w:val="0"/>
      <w:marTop w:val="0"/>
      <w:marBottom w:val="0"/>
      <w:divBdr>
        <w:top w:val="none" w:sz="0" w:space="0" w:color="auto"/>
        <w:left w:val="none" w:sz="0" w:space="0" w:color="auto"/>
        <w:bottom w:val="none" w:sz="0" w:space="0" w:color="auto"/>
        <w:right w:val="none" w:sz="0" w:space="0" w:color="auto"/>
      </w:divBdr>
    </w:div>
    <w:div w:id="1124691593">
      <w:bodyDiv w:val="1"/>
      <w:marLeft w:val="0"/>
      <w:marRight w:val="0"/>
      <w:marTop w:val="0"/>
      <w:marBottom w:val="0"/>
      <w:divBdr>
        <w:top w:val="none" w:sz="0" w:space="0" w:color="auto"/>
        <w:left w:val="none" w:sz="0" w:space="0" w:color="auto"/>
        <w:bottom w:val="none" w:sz="0" w:space="0" w:color="auto"/>
        <w:right w:val="none" w:sz="0" w:space="0" w:color="auto"/>
      </w:divBdr>
      <w:divsChild>
        <w:div w:id="421417658">
          <w:marLeft w:val="0"/>
          <w:marRight w:val="0"/>
          <w:marTop w:val="0"/>
          <w:marBottom w:val="0"/>
          <w:divBdr>
            <w:top w:val="none" w:sz="0" w:space="0" w:color="auto"/>
            <w:left w:val="none" w:sz="0" w:space="0" w:color="auto"/>
            <w:bottom w:val="none" w:sz="0" w:space="0" w:color="auto"/>
            <w:right w:val="none" w:sz="0" w:space="0" w:color="auto"/>
          </w:divBdr>
        </w:div>
        <w:div w:id="1452554935">
          <w:marLeft w:val="0"/>
          <w:marRight w:val="0"/>
          <w:marTop w:val="0"/>
          <w:marBottom w:val="0"/>
          <w:divBdr>
            <w:top w:val="none" w:sz="0" w:space="0" w:color="auto"/>
            <w:left w:val="none" w:sz="0" w:space="0" w:color="auto"/>
            <w:bottom w:val="none" w:sz="0" w:space="0" w:color="auto"/>
            <w:right w:val="none" w:sz="0" w:space="0" w:color="auto"/>
          </w:divBdr>
        </w:div>
      </w:divsChild>
    </w:div>
    <w:div w:id="113753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ms.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ncbi.nlm.nih.gov/pubmed/26515156" TargetMode="Externa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ms.gov/Regulations-and-Guidance/Guidance/Manuals/downloads/ncd103c1_part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CD2FE54FBCA74A86C368D6064D7361" ma:contentTypeVersion="0" ma:contentTypeDescription="Create a new document." ma:contentTypeScope="" ma:versionID="9302c0e6b59a9493f1a7642ae27e3d41">
  <xsd:schema xmlns:xsd="http://www.w3.org/2001/XMLSchema" xmlns:xs="http://www.w3.org/2001/XMLSchema" xmlns:p="http://schemas.microsoft.com/office/2006/metadata/properties" targetNamespace="http://schemas.microsoft.com/office/2006/metadata/properties" ma:root="true" ma:fieldsID="067e30616eeadeb776f014c5fbcfd81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6E3299-A361-4E6A-9F11-63308B7D0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FFCD2DE-2070-4B26-9D1E-AB610C615FA0}">
  <ds:schemaRefs>
    <ds:schemaRef ds:uri="http://schemas.openxmlformats.org/package/2006/metadata/core-properties"/>
    <ds:schemaRef ds:uri="http://purl.org/dc/dcmitype/"/>
    <ds:schemaRef ds:uri="http://purl.org/dc/terms/"/>
    <ds:schemaRef ds:uri="http://www.w3.org/XML/1998/namespace"/>
    <ds:schemaRef ds:uri="http://purl.org/dc/elements/1.1/"/>
    <ds:schemaRef ds:uri="http://schemas.microsoft.com/office/2006/metadata/properties"/>
    <ds:schemaRef ds:uri="http://schemas.microsoft.com/office/2006/documentManagement/types"/>
    <ds:schemaRef ds:uri="http://schemas.microsoft.com/office/infopath/2007/PartnerControls"/>
  </ds:schemaRefs>
</ds:datastoreItem>
</file>

<file path=customXml/itemProps3.xml><?xml version="1.0" encoding="utf-8"?>
<ds:datastoreItem xmlns:ds="http://schemas.openxmlformats.org/officeDocument/2006/customXml" ds:itemID="{A6547998-D528-453B-A85D-11D2DBAB23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1886</Words>
  <Characters>11821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Subject:</vt:lpstr>
    </vt:vector>
  </TitlesOfParts>
  <Company>CENTENE CORPORATION</Company>
  <LinksUpToDate>false</LinksUpToDate>
  <CharactersWithSpaces>13680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dc:title>
  <dc:subject/>
  <dc:creator>Centene User</dc:creator>
  <cp:keywords/>
  <dc:description/>
  <cp:lastModifiedBy>Marianne E. Santoro</cp:lastModifiedBy>
  <cp:revision>2</cp:revision>
  <cp:lastPrinted>2019-08-07T16:16:00Z</cp:lastPrinted>
  <dcterms:created xsi:type="dcterms:W3CDTF">2019-08-26T18:12:00Z</dcterms:created>
  <dcterms:modified xsi:type="dcterms:W3CDTF">2019-08-26T18:12:00Z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0x01010097CD2FE54FBCA74A86C368D6064D7361</vt:lpwstr>
  </property>
</Properties>
</file>