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7AF" w:rsidRPr="009D6060" w:rsidRDefault="00230FE4" w:rsidP="00D574CA">
      <w:pPr>
        <w:pStyle w:val="PolicyMainHead"/>
        <w:tabs>
          <w:tab w:val="left" w:pos="360"/>
        </w:tabs>
        <w:spacing w:after="0" w:line="240" w:lineRule="auto"/>
        <w:rPr>
          <w:rFonts w:ascii="Times New Roman" w:hAnsi="Times New Roman"/>
          <w:color w:val="00548C"/>
          <w:sz w:val="36"/>
        </w:rPr>
        <w:sectPr w:rsidR="00B777AF" w:rsidRPr="009D6060" w:rsidSect="00CB63DD">
          <w:headerReference w:type="default" r:id="rId8"/>
          <w:footerReference w:type="default" r:id="rId9"/>
          <w:headerReference w:type="first" r:id="rId10"/>
          <w:footerReference w:type="first" r:id="rId11"/>
          <w:pgSz w:w="12240" w:h="15840" w:code="1"/>
          <w:pgMar w:top="1440" w:right="907" w:bottom="1152" w:left="1440" w:header="576" w:footer="288" w:gutter="0"/>
          <w:cols w:space="720"/>
          <w:titlePg/>
          <w:docGrid w:linePitch="360"/>
        </w:sectPr>
      </w:pPr>
      <w:r>
        <w:rPr>
          <w:rFonts w:ascii="Times New Roman" w:hAnsi="Times New Roman"/>
          <w:color w:val="00548C"/>
          <w:sz w:val="36"/>
        </w:rPr>
        <w:t>Clinic</w:t>
      </w:r>
      <w:r w:rsidRPr="005D7B81">
        <w:rPr>
          <w:rFonts w:ascii="Times New Roman" w:hAnsi="Times New Roman"/>
          <w:color w:val="00548C"/>
          <w:sz w:val="36"/>
        </w:rPr>
        <w:t xml:space="preserve">al </w:t>
      </w:r>
      <w:r w:rsidR="00772335">
        <w:rPr>
          <w:rFonts w:ascii="Times New Roman" w:hAnsi="Times New Roman"/>
          <w:color w:val="00548C"/>
          <w:sz w:val="36"/>
        </w:rPr>
        <w:t xml:space="preserve">Policy: </w:t>
      </w:r>
      <w:r w:rsidR="00C46653">
        <w:rPr>
          <w:rFonts w:ascii="Times New Roman" w:hAnsi="Times New Roman"/>
          <w:color w:val="00548C"/>
          <w:sz w:val="36"/>
        </w:rPr>
        <w:t>Preventive Health and Clinical Practice Guidelines</w:t>
      </w:r>
    </w:p>
    <w:p w:rsidR="00480C09" w:rsidRPr="003D7BE7" w:rsidRDefault="00D574CA" w:rsidP="00CB63DD">
      <w:pPr>
        <w:pStyle w:val="PolicyMainHead"/>
        <w:spacing w:after="0" w:line="240" w:lineRule="auto"/>
        <w:rPr>
          <w:rFonts w:ascii="Times New Roman" w:hAnsi="Times New Roman"/>
          <w:color w:val="00548C"/>
          <w:sz w:val="24"/>
          <w:szCs w:val="24"/>
        </w:rPr>
        <w:sectPr w:rsidR="00480C09" w:rsidRPr="003D7BE7" w:rsidSect="00CB63DD">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sidR="00C46653">
        <w:rPr>
          <w:rFonts w:ascii="Times New Roman" w:hAnsi="Times New Roman"/>
          <w:color w:val="00548C"/>
          <w:sz w:val="24"/>
          <w:szCs w:val="24"/>
        </w:rPr>
        <w:t>CPC.03</w:t>
      </w:r>
      <w:r w:rsidR="00CB63DD">
        <w:rPr>
          <w:rFonts w:ascii="Times New Roman" w:hAnsi="Times New Roman"/>
          <w:color w:val="00548C"/>
          <w:sz w:val="24"/>
          <w:szCs w:val="24"/>
        </w:rPr>
        <w:tab/>
      </w:r>
      <w:r w:rsidR="00CB63DD">
        <w:rPr>
          <w:rFonts w:ascii="Times New Roman" w:hAnsi="Times New Roman"/>
          <w:color w:val="00548C"/>
          <w:sz w:val="24"/>
          <w:szCs w:val="24"/>
        </w:rPr>
        <w:tab/>
        <w:t xml:space="preserve">  </w:t>
      </w:r>
      <w:r w:rsidR="00CB63DD">
        <w:rPr>
          <w:rFonts w:ascii="Times New Roman" w:hAnsi="Times New Roman"/>
          <w:color w:val="00548C"/>
          <w:sz w:val="24"/>
          <w:szCs w:val="24"/>
        </w:rPr>
        <w:tab/>
      </w:r>
      <w:r w:rsidR="00480C09" w:rsidRPr="003D7BE7">
        <w:rPr>
          <w:rFonts w:ascii="Times New Roman" w:hAnsi="Times New Roman"/>
          <w:color w:val="00548C"/>
          <w:sz w:val="24"/>
          <w:szCs w:val="24"/>
        </w:rPr>
        <w:tab/>
      </w:r>
      <w:r w:rsidR="00CB63DD">
        <w:rPr>
          <w:rFonts w:ascii="Times New Roman" w:hAnsi="Times New Roman"/>
          <w:color w:val="00548C"/>
          <w:sz w:val="24"/>
          <w:szCs w:val="24"/>
        </w:rPr>
        <w:tab/>
        <w:t xml:space="preserve">     </w:t>
      </w:r>
    </w:p>
    <w:p w:rsidR="00875924" w:rsidRDefault="00D574CA" w:rsidP="00CB63DD">
      <w:pPr>
        <w:pStyle w:val="PolicyMainHead"/>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C46653">
        <w:rPr>
          <w:rFonts w:ascii="Times New Roman" w:hAnsi="Times New Roman"/>
          <w:color w:val="00548C"/>
          <w:sz w:val="24"/>
          <w:szCs w:val="24"/>
        </w:rPr>
        <w:t>04/19</w:t>
      </w:r>
    </w:p>
    <w:p w:rsidR="00875924" w:rsidRDefault="0068211E" w:rsidP="00875924">
      <w:pPr>
        <w:pStyle w:val="PolicyMainHead"/>
        <w:tabs>
          <w:tab w:val="left" w:pos="360"/>
        </w:tabs>
        <w:spacing w:after="0" w:line="240" w:lineRule="auto"/>
        <w:jc w:val="right"/>
        <w:rPr>
          <w:rStyle w:val="Strong"/>
          <w:rFonts w:ascii="Times New Roman" w:hAnsi="Times New Roman"/>
          <w:b w:val="0"/>
          <w:bCs w:val="0"/>
          <w:u w:val="single"/>
        </w:rPr>
        <w:sectPr w:rsidR="00875924" w:rsidSect="00CB63DD">
          <w:type w:val="continuous"/>
          <w:pgSz w:w="12240" w:h="15840" w:code="1"/>
          <w:pgMar w:top="1440" w:right="1170" w:bottom="1440" w:left="1440" w:header="576" w:footer="288" w:gutter="0"/>
          <w:cols w:num="2" w:space="720"/>
          <w:titlePg/>
          <w:docGrid w:linePitch="360"/>
        </w:sectPr>
      </w:pPr>
      <w:hyperlink w:anchor="Revision_Log" w:history="1">
        <w:r w:rsidR="007B50D0" w:rsidRPr="003D7BE7">
          <w:rPr>
            <w:rStyle w:val="Hyperlink"/>
            <w:rFonts w:ascii="Times New Roman" w:hAnsi="Times New Roman"/>
            <w:sz w:val="24"/>
            <w:szCs w:val="24"/>
          </w:rPr>
          <w:t>Revision Log</w:t>
        </w:r>
      </w:hyperlink>
      <w:r w:rsidR="00875924">
        <w:rPr>
          <w:rFonts w:ascii="Times New Roman" w:hAnsi="Times New Roman"/>
          <w:color w:val="00548C"/>
          <w:sz w:val="24"/>
          <w:szCs w:val="24"/>
        </w:rPr>
        <w:t xml:space="preserve"> </w:t>
      </w:r>
    </w:p>
    <w:p w:rsidR="005D7B81" w:rsidRDefault="00032D3F" w:rsidP="00032D3F">
      <w:pPr>
        <w:pStyle w:val="NormalWeb"/>
        <w:tabs>
          <w:tab w:val="left" w:pos="975"/>
        </w:tabs>
        <w:spacing w:before="0" w:beforeAutospacing="0" w:after="0" w:afterAutospacing="0"/>
        <w:rPr>
          <w:rFonts w:ascii="Times New Roman" w:hAnsi="Times New Roman" w:cs="Times New Roman"/>
        </w:rPr>
      </w:pPr>
      <w:r>
        <w:rPr>
          <w:rFonts w:ascii="Times New Roman" w:hAnsi="Times New Roman" w:cs="Times New Roman"/>
        </w:rPr>
        <w:tab/>
      </w:r>
    </w:p>
    <w:p w:rsidR="00583376" w:rsidRPr="00B777AF" w:rsidRDefault="00583376">
      <w:pPr>
        <w:pStyle w:val="Heading2"/>
        <w:rPr>
          <w:u w:val="none"/>
        </w:rPr>
      </w:pPr>
      <w:r w:rsidRPr="00B777AF">
        <w:rPr>
          <w:u w:val="none"/>
        </w:rPr>
        <w:t xml:space="preserve">Description </w:t>
      </w:r>
    </w:p>
    <w:p w:rsidR="00C46653" w:rsidRDefault="00C46653" w:rsidP="00C46653">
      <w:r>
        <w:t xml:space="preserve">The Plan, whenever possible, adopts preventive and clinical practice guidelines (CPG) from recognized sources for the provision of acute, chronic and behavioral health services relevant to the populations served. The Plan also presents guidelines to the Quality Committee for appropriate physician review and adoption. Guidelines </w:t>
      </w:r>
      <w:proofErr w:type="gramStart"/>
      <w:r>
        <w:t>are updated</w:t>
      </w:r>
      <w:proofErr w:type="gramEnd"/>
      <w:r>
        <w:t xml:space="preserve"> at least annually or upon significant new scientific evidence or changes in national standards.</w:t>
      </w:r>
    </w:p>
    <w:p w:rsidR="00C46653" w:rsidRDefault="00C46653" w:rsidP="00C46653"/>
    <w:p w:rsidR="00ED0A0D" w:rsidRDefault="00C46653" w:rsidP="00C46653">
      <w:r>
        <w:t xml:space="preserve">The Plan adopts clinical practice </w:t>
      </w:r>
      <w:proofErr w:type="gramStart"/>
      <w:r>
        <w:t>guidelines which</w:t>
      </w:r>
      <w:proofErr w:type="gramEnd"/>
      <w:r>
        <w:t xml:space="preserve"> are relevant to their population. Guidelines </w:t>
      </w:r>
      <w:proofErr w:type="gramStart"/>
      <w:r>
        <w:t>are based</w:t>
      </w:r>
      <w:proofErr w:type="gramEnd"/>
      <w:r>
        <w:t xml:space="preserve"> on the population’s health needs and/or opportunities for improvement as identified through the Quality Assessment and Performance Improvement (QAPI) Program. The Plan also adopts applicable preventive health guidelines for perinatal care, care for children up to 24 months old, care for children 2–19 years old, care for adults 20–64 years old, and care for adults 65 years and older.</w:t>
      </w:r>
    </w:p>
    <w:p w:rsidR="005D7B81" w:rsidRPr="00B777AF" w:rsidRDefault="005D7B81" w:rsidP="00196935"/>
    <w:p w:rsidR="00C46653" w:rsidRPr="00C46653" w:rsidRDefault="00811825" w:rsidP="00C46653">
      <w:pPr>
        <w:pStyle w:val="Heading2"/>
        <w:numPr>
          <w:ilvl w:val="0"/>
          <w:numId w:val="34"/>
        </w:numPr>
        <w:ind w:left="360" w:hanging="360"/>
        <w:rPr>
          <w:u w:val="none"/>
        </w:rPr>
      </w:pPr>
      <w:r w:rsidRPr="00C46653">
        <w:rPr>
          <w:u w:val="none"/>
        </w:rPr>
        <w:t>P</w:t>
      </w:r>
      <w:r>
        <w:rPr>
          <w:u w:val="none"/>
        </w:rPr>
        <w:t>rocedure</w:t>
      </w:r>
      <w:r w:rsidR="00C46653" w:rsidRPr="00C46653">
        <w:rPr>
          <w:u w:val="none"/>
        </w:rPr>
        <w:t xml:space="preserve">:  </w:t>
      </w:r>
    </w:p>
    <w:p w:rsidR="00C46653" w:rsidRPr="00C46653" w:rsidRDefault="00C46653" w:rsidP="00C46653">
      <w:pPr>
        <w:numPr>
          <w:ilvl w:val="0"/>
          <w:numId w:val="22"/>
        </w:numPr>
        <w:ind w:left="720"/>
        <w:rPr>
          <w:b/>
          <w:strike/>
        </w:rPr>
      </w:pPr>
      <w:r w:rsidRPr="00C46653">
        <w:rPr>
          <w:b/>
        </w:rPr>
        <w:t xml:space="preserve">Development, Adoption and Revision </w:t>
      </w:r>
    </w:p>
    <w:p w:rsidR="00C46653" w:rsidRPr="00C46653" w:rsidRDefault="00C46653" w:rsidP="00C46653">
      <w:pPr>
        <w:numPr>
          <w:ilvl w:val="1"/>
          <w:numId w:val="26"/>
        </w:numPr>
        <w:ind w:left="1080"/>
        <w:rPr>
          <w:noProof/>
        </w:rPr>
      </w:pPr>
      <w:r w:rsidRPr="00C46653">
        <w:t>The Corporate Clinical Policy Committee (CPC</w:t>
      </w:r>
      <w:proofErr w:type="gramStart"/>
      <w:r w:rsidRPr="00C46653">
        <w:t>),</w:t>
      </w:r>
      <w:proofErr w:type="gramEnd"/>
      <w:r w:rsidRPr="00C46653">
        <w:t xml:space="preserve"> is responsible for researching evidence-based guidelines. Whenever possible, guidelines from recognized sources </w:t>
      </w:r>
      <w:proofErr w:type="gramStart"/>
      <w:r w:rsidRPr="00C46653">
        <w:t>are adopted</w:t>
      </w:r>
      <w:proofErr w:type="gramEnd"/>
      <w:r w:rsidRPr="00C46653">
        <w:t xml:space="preserve">. </w:t>
      </w:r>
      <w:r w:rsidRPr="00C46653">
        <w:rPr>
          <w:noProof/>
        </w:rPr>
        <w:t xml:space="preserve">Source data is documented in the guidelines to include the scientific basis or the authority upon which it is based.   </w:t>
      </w:r>
    </w:p>
    <w:p w:rsidR="00C46653" w:rsidRPr="00C46653" w:rsidRDefault="00C46653" w:rsidP="00C46653">
      <w:pPr>
        <w:numPr>
          <w:ilvl w:val="1"/>
          <w:numId w:val="26"/>
        </w:numPr>
        <w:ind w:left="1080"/>
        <w:rPr>
          <w:noProof/>
        </w:rPr>
      </w:pPr>
      <w:r w:rsidRPr="00C46653">
        <w:rPr>
          <w:noProof/>
        </w:rPr>
        <w:t xml:space="preserve">Board-certified practitioners who will utilize the guidelines have the opportunity to review and give advice on the guidelines through the </w:t>
      </w:r>
      <w:r w:rsidRPr="00C46653">
        <w:t xml:space="preserve">Corporate CPC </w:t>
      </w:r>
      <w:r w:rsidRPr="00C46653">
        <w:rPr>
          <w:noProof/>
        </w:rPr>
        <w:t xml:space="preserve">and the Plan’s Quality Committee. Specialist review is documented in the meeting minutes, as applicable. </w:t>
      </w:r>
    </w:p>
    <w:p w:rsidR="00C46653" w:rsidRPr="00C46653" w:rsidRDefault="00C46653" w:rsidP="00C46653">
      <w:pPr>
        <w:numPr>
          <w:ilvl w:val="1"/>
          <w:numId w:val="26"/>
        </w:numPr>
        <w:ind w:left="1080"/>
      </w:pPr>
      <w:r w:rsidRPr="00C46653">
        <w:t xml:space="preserve">If guidelines from a recognized source </w:t>
      </w:r>
      <w:proofErr w:type="gramStart"/>
      <w:r w:rsidRPr="00C46653">
        <w:t>cannot be found</w:t>
      </w:r>
      <w:proofErr w:type="gramEnd"/>
      <w:r w:rsidRPr="00C46653">
        <w:t>, </w:t>
      </w:r>
      <w:proofErr w:type="spellStart"/>
      <w:r w:rsidRPr="00C46653">
        <w:t>Centene’s</w:t>
      </w:r>
      <w:proofErr w:type="spellEnd"/>
      <w:r w:rsidRPr="00C46653">
        <w:t xml:space="preserve"> CPC is consulted for assistance in guideline sourcing or development. </w:t>
      </w:r>
    </w:p>
    <w:p w:rsidR="00C46653" w:rsidRPr="00C46653" w:rsidRDefault="00C46653" w:rsidP="00C46653">
      <w:pPr>
        <w:numPr>
          <w:ilvl w:val="1"/>
          <w:numId w:val="26"/>
        </w:numPr>
        <w:ind w:left="1080"/>
      </w:pPr>
      <w:r w:rsidRPr="00C46653">
        <w:t>The Plan QI/QM designee</w:t>
      </w:r>
      <w:r w:rsidR="00811825">
        <w:t xml:space="preserve"> or clinical policy staff</w:t>
      </w:r>
      <w:r w:rsidRPr="00C46653">
        <w:t xml:space="preserve"> update guidelines upon significant new scientific evidence or change in national standards and </w:t>
      </w:r>
      <w:proofErr w:type="gramStart"/>
      <w:r w:rsidRPr="00C46653">
        <w:t>guidelines are reviewed by the Corporate CPC and Plan Quality Committee</w:t>
      </w:r>
      <w:proofErr w:type="gramEnd"/>
      <w:r w:rsidRPr="00C46653">
        <w:t xml:space="preserve"> at least annually. </w:t>
      </w:r>
    </w:p>
    <w:p w:rsidR="00C46653" w:rsidRPr="00C46653" w:rsidRDefault="00C46653" w:rsidP="00C46653">
      <w:pPr>
        <w:ind w:left="1980"/>
        <w:rPr>
          <w:noProof/>
        </w:rPr>
      </w:pPr>
    </w:p>
    <w:p w:rsidR="00C46653" w:rsidRPr="00C46653" w:rsidRDefault="00C46653" w:rsidP="00C46653">
      <w:pPr>
        <w:numPr>
          <w:ilvl w:val="0"/>
          <w:numId w:val="22"/>
        </w:numPr>
        <w:ind w:left="720"/>
        <w:rPr>
          <w:strike/>
          <w:noProof/>
        </w:rPr>
      </w:pPr>
      <w:r w:rsidRPr="00C46653">
        <w:rPr>
          <w:b/>
          <w:noProof/>
        </w:rPr>
        <w:t xml:space="preserve">Internal Use of Practice Guidelines </w:t>
      </w:r>
    </w:p>
    <w:p w:rsidR="00C46653" w:rsidRPr="00C46653" w:rsidRDefault="00C46653" w:rsidP="00C46653">
      <w:pPr>
        <w:numPr>
          <w:ilvl w:val="1"/>
          <w:numId w:val="27"/>
        </w:numPr>
        <w:ind w:left="1080"/>
        <w:rPr>
          <w:noProof/>
        </w:rPr>
      </w:pPr>
      <w:r w:rsidRPr="00C46653">
        <w:rPr>
          <w:noProof/>
        </w:rPr>
        <w:t>The Plan utilizes evidence-based clinical practice guidelines, preventive health guidelines, and/or other scientific evidence, as applicable, in  developing, implementing and maintaining clinical decision support tools used to support utilization and care management.</w:t>
      </w:r>
    </w:p>
    <w:p w:rsidR="00C46653" w:rsidRPr="00C46653" w:rsidRDefault="00C46653" w:rsidP="00C46653">
      <w:pPr>
        <w:numPr>
          <w:ilvl w:val="1"/>
          <w:numId w:val="27"/>
        </w:numPr>
        <w:ind w:left="1080"/>
        <w:rPr>
          <w:noProof/>
        </w:rPr>
      </w:pPr>
      <w:r w:rsidRPr="00C46653">
        <w:rPr>
          <w:noProof/>
        </w:rPr>
        <w:t>When appropriate, the Plan may choose to use a vendor’s clinical decision support tools. The Plan will ensure through due diligence and regular updates that evidence-based practice is utilized in development of the clinical decision support tools.</w:t>
      </w:r>
    </w:p>
    <w:p w:rsidR="00C46653" w:rsidRPr="00C46653" w:rsidRDefault="00C46653" w:rsidP="00C46653">
      <w:pPr>
        <w:numPr>
          <w:ilvl w:val="1"/>
          <w:numId w:val="27"/>
        </w:numPr>
        <w:ind w:left="1080"/>
        <w:rPr>
          <w:noProof/>
        </w:rPr>
      </w:pPr>
      <w:r w:rsidRPr="00C46653">
        <w:rPr>
          <w:noProof/>
        </w:rPr>
        <w:t xml:space="preserve">When the Plan deems necessary, customized assessments or utilization management tools are developed as follows:   </w:t>
      </w:r>
    </w:p>
    <w:p w:rsidR="00C46653" w:rsidRPr="00C46653" w:rsidRDefault="00C46653" w:rsidP="00C46653">
      <w:pPr>
        <w:numPr>
          <w:ilvl w:val="2"/>
          <w:numId w:val="28"/>
        </w:numPr>
        <w:ind w:left="1440"/>
        <w:rPr>
          <w:noProof/>
        </w:rPr>
      </w:pPr>
      <w:r w:rsidRPr="00C46653">
        <w:rPr>
          <w:noProof/>
        </w:rPr>
        <w:t>Utilize clinical sources with documented evidence-based practice.</w:t>
      </w:r>
      <w:r w:rsidRPr="00C46653" w:rsidDel="0060303C">
        <w:rPr>
          <w:noProof/>
        </w:rPr>
        <w:t xml:space="preserve"> </w:t>
      </w:r>
    </w:p>
    <w:p w:rsidR="00C46653" w:rsidRPr="00C46653" w:rsidRDefault="00C46653" w:rsidP="00C46653">
      <w:pPr>
        <w:numPr>
          <w:ilvl w:val="2"/>
          <w:numId w:val="28"/>
        </w:numPr>
        <w:ind w:left="1440"/>
        <w:rPr>
          <w:noProof/>
        </w:rPr>
      </w:pPr>
      <w:r w:rsidRPr="00C46653">
        <w:rPr>
          <w:noProof/>
        </w:rPr>
        <w:t xml:space="preserve">A team consisting of Plan and Corporate staff, which includes licensed clinical staff, develops the necessary tools. </w:t>
      </w:r>
    </w:p>
    <w:p w:rsidR="00C46653" w:rsidRPr="00C46653" w:rsidRDefault="00C46653" w:rsidP="00C46653">
      <w:pPr>
        <w:numPr>
          <w:ilvl w:val="2"/>
          <w:numId w:val="28"/>
        </w:numPr>
        <w:ind w:left="1440"/>
        <w:rPr>
          <w:noProof/>
        </w:rPr>
      </w:pPr>
      <w:r w:rsidRPr="00C46653">
        <w:rPr>
          <w:noProof/>
        </w:rPr>
        <w:lastRenderedPageBreak/>
        <w:t>The Vice President of Medical Management and the Vice President of Medical Affiars review and approve the modifications.</w:t>
      </w:r>
    </w:p>
    <w:p w:rsidR="00C46653" w:rsidRPr="00C46653" w:rsidRDefault="00C46653" w:rsidP="00C46653">
      <w:pPr>
        <w:numPr>
          <w:ilvl w:val="1"/>
          <w:numId w:val="27"/>
        </w:numPr>
        <w:ind w:left="1080"/>
        <w:rPr>
          <w:noProof/>
        </w:rPr>
      </w:pPr>
      <w:r w:rsidRPr="00C46653">
        <w:rPr>
          <w:noProof/>
        </w:rPr>
        <w:t>The clinical documentation system provides a link to the clinical practice or preventive health guideline as applicable for access by clinical staff during utilzation management and care management.</w:t>
      </w:r>
    </w:p>
    <w:p w:rsidR="00C46653" w:rsidRPr="00C46653" w:rsidRDefault="00C46653" w:rsidP="00C46653">
      <w:pPr>
        <w:ind w:left="1080"/>
        <w:rPr>
          <w:noProof/>
        </w:rPr>
      </w:pPr>
    </w:p>
    <w:p w:rsidR="00C46653" w:rsidRPr="00C46653" w:rsidRDefault="00C46653" w:rsidP="00C46653">
      <w:pPr>
        <w:numPr>
          <w:ilvl w:val="0"/>
          <w:numId w:val="22"/>
        </w:numPr>
        <w:ind w:left="720"/>
        <w:rPr>
          <w:b/>
          <w:strike/>
          <w:noProof/>
        </w:rPr>
      </w:pPr>
      <w:r w:rsidRPr="00C46653">
        <w:rPr>
          <w:b/>
          <w:noProof/>
        </w:rPr>
        <w:t xml:space="preserve">Plan Distribution to Practitioners and Members </w:t>
      </w:r>
    </w:p>
    <w:p w:rsidR="00C46653" w:rsidRPr="00C46653" w:rsidRDefault="00C46653" w:rsidP="00C46653">
      <w:pPr>
        <w:numPr>
          <w:ilvl w:val="1"/>
          <w:numId w:val="29"/>
        </w:numPr>
        <w:ind w:left="1080"/>
        <w:rPr>
          <w:noProof/>
        </w:rPr>
      </w:pPr>
      <w:r w:rsidRPr="00C46653">
        <w:rPr>
          <w:noProof/>
        </w:rPr>
        <w:t xml:space="preserve">The Plan distributes guidelines to all practitioners who are likely to use them and upon request to members, potential members and providers. Revised guidelines are distributed on a timely basis. The Plan also distributes guidelines to new practitioners if the original distribution has already occurred. </w:t>
      </w:r>
    </w:p>
    <w:p w:rsidR="00C46653" w:rsidRPr="00C46653" w:rsidRDefault="00C46653" w:rsidP="00C46653">
      <w:pPr>
        <w:numPr>
          <w:ilvl w:val="1"/>
          <w:numId w:val="29"/>
        </w:numPr>
        <w:ind w:left="1080"/>
        <w:rPr>
          <w:noProof/>
        </w:rPr>
      </w:pPr>
      <w:r w:rsidRPr="00C46653">
        <w:rPr>
          <w:noProof/>
        </w:rPr>
        <w:t xml:space="preserve">New or updated guidelines will be disseminated to providers via the Plan website as soon as possible (or per state contract timeframe, if applicable). </w:t>
      </w:r>
    </w:p>
    <w:p w:rsidR="00C46653" w:rsidRPr="00C46653" w:rsidRDefault="00C46653" w:rsidP="00C46653">
      <w:pPr>
        <w:numPr>
          <w:ilvl w:val="1"/>
          <w:numId w:val="29"/>
        </w:numPr>
        <w:ind w:left="1080"/>
        <w:rPr>
          <w:noProof/>
        </w:rPr>
      </w:pPr>
      <w:r w:rsidRPr="00C46653">
        <w:rPr>
          <w:noProof/>
        </w:rPr>
        <w:t xml:space="preserve">A listing of adopted clinical practice and preventive health guidelines is maintained in the provider manual, with the links to the full guidelines or with a notation that the links and/or full guidelines are available on the Plan website or hard copy upon request. </w:t>
      </w:r>
    </w:p>
    <w:p w:rsidR="00C46653" w:rsidRPr="00C46653" w:rsidRDefault="00C46653" w:rsidP="00C46653">
      <w:pPr>
        <w:numPr>
          <w:ilvl w:val="1"/>
          <w:numId w:val="29"/>
        </w:numPr>
        <w:ind w:left="1080"/>
        <w:rPr>
          <w:noProof/>
        </w:rPr>
      </w:pPr>
      <w:r w:rsidRPr="00C46653">
        <w:rPr>
          <w:noProof/>
        </w:rPr>
        <w:t>Members may be notified of their right to request guidelines in the member handbook, member newsletter, or other member materials.</w:t>
      </w:r>
    </w:p>
    <w:p w:rsidR="00C46653" w:rsidRPr="00C46653" w:rsidRDefault="00C46653" w:rsidP="00C46653">
      <w:pPr>
        <w:numPr>
          <w:ilvl w:val="1"/>
          <w:numId w:val="29"/>
        </w:numPr>
        <w:ind w:left="1080"/>
        <w:rPr>
          <w:noProof/>
        </w:rPr>
      </w:pPr>
      <w:r w:rsidRPr="00C46653">
        <w:rPr>
          <w:noProof/>
        </w:rPr>
        <w:t xml:space="preserve">If a member or potential member requests a copy of guidelines, it is noted in the member services call tracking system, and the member is referred to the Plan website, or a hard copy is mailed to the member if requested.  </w:t>
      </w:r>
    </w:p>
    <w:p w:rsidR="00C46653" w:rsidRPr="00C46653" w:rsidRDefault="00C46653" w:rsidP="00C46653">
      <w:pPr>
        <w:numPr>
          <w:ilvl w:val="1"/>
          <w:numId w:val="29"/>
        </w:numPr>
        <w:ind w:left="1080"/>
      </w:pPr>
      <w:r w:rsidRPr="00C46653">
        <w:rPr>
          <w:noProof/>
        </w:rPr>
        <w:t>Mechanisms to notify and distribute guidelines may include, but are not limited to:</w:t>
      </w:r>
    </w:p>
    <w:p w:rsidR="00C46653" w:rsidRPr="00C46653" w:rsidRDefault="00C46653" w:rsidP="00C46653">
      <w:pPr>
        <w:numPr>
          <w:ilvl w:val="0"/>
          <w:numId w:val="30"/>
        </w:numPr>
        <w:ind w:left="1440"/>
        <w:rPr>
          <w:noProof/>
        </w:rPr>
      </w:pPr>
      <w:r w:rsidRPr="00C46653">
        <w:rPr>
          <w:noProof/>
        </w:rPr>
        <w:t>New practitioner orientation materials</w:t>
      </w:r>
    </w:p>
    <w:p w:rsidR="00C46653" w:rsidRPr="00C46653" w:rsidRDefault="00C46653" w:rsidP="00C46653">
      <w:pPr>
        <w:numPr>
          <w:ilvl w:val="0"/>
          <w:numId w:val="30"/>
        </w:numPr>
        <w:ind w:left="1440"/>
        <w:rPr>
          <w:noProof/>
        </w:rPr>
      </w:pPr>
      <w:r w:rsidRPr="00C46653">
        <w:rPr>
          <w:noProof/>
        </w:rPr>
        <w:t>Provider and member newsletters</w:t>
      </w:r>
    </w:p>
    <w:p w:rsidR="00C46653" w:rsidRPr="00C46653" w:rsidRDefault="00C46653" w:rsidP="00C46653">
      <w:pPr>
        <w:numPr>
          <w:ilvl w:val="0"/>
          <w:numId w:val="30"/>
        </w:numPr>
        <w:ind w:left="1440"/>
        <w:rPr>
          <w:noProof/>
        </w:rPr>
      </w:pPr>
      <w:r w:rsidRPr="00C46653">
        <w:rPr>
          <w:noProof/>
        </w:rPr>
        <w:t xml:space="preserve">Member handbook </w:t>
      </w:r>
    </w:p>
    <w:p w:rsidR="00C46653" w:rsidRPr="00C46653" w:rsidRDefault="00C46653" w:rsidP="00C46653">
      <w:pPr>
        <w:numPr>
          <w:ilvl w:val="0"/>
          <w:numId w:val="30"/>
        </w:numPr>
        <w:ind w:left="1440"/>
        <w:rPr>
          <w:noProof/>
        </w:rPr>
      </w:pPr>
      <w:r w:rsidRPr="00C46653">
        <w:rPr>
          <w:noProof/>
        </w:rPr>
        <w:t>Special mailings</w:t>
      </w:r>
    </w:p>
    <w:p w:rsidR="00C46653" w:rsidRPr="00C46653" w:rsidRDefault="00C46653" w:rsidP="00C46653">
      <w:pPr>
        <w:numPr>
          <w:ilvl w:val="1"/>
          <w:numId w:val="29"/>
        </w:numPr>
        <w:ind w:left="1080"/>
        <w:rPr>
          <w:noProof/>
        </w:rPr>
      </w:pPr>
      <w:r w:rsidRPr="00C46653">
        <w:rPr>
          <w:noProof/>
        </w:rPr>
        <w:t>Distribution of practice guidelines is tracked in the QI/QM Work Plan and summarized in the QI/QM Annual Program Evaluation.</w:t>
      </w:r>
    </w:p>
    <w:p w:rsidR="00C46653" w:rsidRPr="00C46653" w:rsidRDefault="00C46653" w:rsidP="00C46653">
      <w:pPr>
        <w:ind w:left="360"/>
        <w:rPr>
          <w:noProof/>
        </w:rPr>
      </w:pPr>
    </w:p>
    <w:p w:rsidR="00C46653" w:rsidRPr="00C46653" w:rsidRDefault="00C46653" w:rsidP="00C46653">
      <w:pPr>
        <w:numPr>
          <w:ilvl w:val="0"/>
          <w:numId w:val="22"/>
        </w:numPr>
        <w:ind w:left="720"/>
        <w:rPr>
          <w:b/>
          <w:strike/>
          <w:noProof/>
        </w:rPr>
      </w:pPr>
      <w:r w:rsidRPr="00C46653">
        <w:rPr>
          <w:b/>
          <w:noProof/>
        </w:rPr>
        <w:t xml:space="preserve">Performance Measurement </w:t>
      </w:r>
    </w:p>
    <w:p w:rsidR="00C46653" w:rsidRPr="00C46653" w:rsidRDefault="00C46653" w:rsidP="00C46653">
      <w:pPr>
        <w:numPr>
          <w:ilvl w:val="1"/>
          <w:numId w:val="31"/>
        </w:numPr>
        <w:ind w:left="1080"/>
        <w:rPr>
          <w:noProof/>
        </w:rPr>
      </w:pPr>
      <w:r w:rsidRPr="00C46653">
        <w:rPr>
          <w:noProof/>
        </w:rPr>
        <w:t xml:space="preserve">If applicable, based on state contract and accreditation (e.g. NCQA, URAC, etc.) requirements, the Plan measures practitioner compliance with at least two important aspects of each of the four clinical guidelines (two of which must be behavioral health) and two preventive health guidelines at least annually. This may be done in conjunction with  delegated vendors as applicable.   </w:t>
      </w:r>
    </w:p>
    <w:p w:rsidR="00C46653" w:rsidRPr="00C46653" w:rsidRDefault="00C46653" w:rsidP="00C46653">
      <w:pPr>
        <w:numPr>
          <w:ilvl w:val="1"/>
          <w:numId w:val="31"/>
        </w:numPr>
        <w:ind w:left="1080"/>
        <w:rPr>
          <w:noProof/>
        </w:rPr>
      </w:pPr>
      <w:r w:rsidRPr="00C46653">
        <w:rPr>
          <w:noProof/>
        </w:rPr>
        <w:t>The analysis can be either population or practice-based.</w:t>
      </w:r>
    </w:p>
    <w:p w:rsidR="00C46653" w:rsidRPr="00C46653" w:rsidRDefault="00C46653" w:rsidP="00C46653">
      <w:pPr>
        <w:numPr>
          <w:ilvl w:val="2"/>
          <w:numId w:val="32"/>
        </w:numPr>
        <w:ind w:left="1440"/>
      </w:pPr>
      <w:r w:rsidRPr="00C46653">
        <w:t xml:space="preserve">If population based, the services/treatments received by members </w:t>
      </w:r>
      <w:proofErr w:type="gramStart"/>
      <w:r w:rsidRPr="00C46653">
        <w:t>are assessed</w:t>
      </w:r>
      <w:proofErr w:type="gramEnd"/>
      <w:r w:rsidRPr="00C46653">
        <w:t>, via claims data or HEDIS rates, to measure compliance with the guidelines.</w:t>
      </w:r>
    </w:p>
    <w:p w:rsidR="00C46653" w:rsidRPr="00C46653" w:rsidRDefault="00C46653" w:rsidP="00C46653">
      <w:pPr>
        <w:numPr>
          <w:ilvl w:val="2"/>
          <w:numId w:val="32"/>
        </w:numPr>
        <w:ind w:left="1440"/>
        <w:rPr>
          <w:noProof/>
        </w:rPr>
      </w:pPr>
      <w:r w:rsidRPr="00C46653">
        <w:t xml:space="preserve">If practice-based, a sample of </w:t>
      </w:r>
      <w:proofErr w:type="gramStart"/>
      <w:r w:rsidRPr="00C46653">
        <w:t>practitioners’</w:t>
      </w:r>
      <w:proofErr w:type="gramEnd"/>
      <w:r w:rsidRPr="00C46653">
        <w:t xml:space="preserve"> or practices’ records may be evaluated for</w:t>
      </w:r>
      <w:r w:rsidRPr="00C46653">
        <w:rPr>
          <w:noProof/>
        </w:rPr>
        <w:t xml:space="preserve"> adherence to specific guidelines.</w:t>
      </w:r>
    </w:p>
    <w:p w:rsidR="00C46653" w:rsidRPr="00C46653" w:rsidRDefault="00C46653" w:rsidP="00C46653">
      <w:pPr>
        <w:numPr>
          <w:ilvl w:val="1"/>
          <w:numId w:val="31"/>
        </w:numPr>
        <w:ind w:left="1080"/>
        <w:rPr>
          <w:noProof/>
        </w:rPr>
      </w:pPr>
      <w:r w:rsidRPr="00C46653">
        <w:rPr>
          <w:noProof/>
        </w:rPr>
        <w:t xml:space="preserve">Whenever possible, the Plan uses applicable HEDIS measures to monitor practitioner compliance with adopted guidelines. </w:t>
      </w:r>
    </w:p>
    <w:p w:rsidR="00C46653" w:rsidRPr="00C46653" w:rsidRDefault="00C46653" w:rsidP="00C46653">
      <w:pPr>
        <w:numPr>
          <w:ilvl w:val="1"/>
          <w:numId w:val="31"/>
        </w:numPr>
        <w:ind w:left="1080"/>
      </w:pPr>
      <w:r w:rsidRPr="00C46653">
        <w:rPr>
          <w:noProof/>
        </w:rPr>
        <w:t>If the performance measurement rates fall below the Plan, State, and/or CMS goals, the Plan</w:t>
      </w:r>
      <w:r w:rsidRPr="00C46653">
        <w:t xml:space="preserve"> implements interventions for improvement, as applicable. </w:t>
      </w:r>
    </w:p>
    <w:p w:rsidR="00C46653" w:rsidRPr="00C46653" w:rsidRDefault="00C46653" w:rsidP="00C46653">
      <w:pPr>
        <w:ind w:left="360"/>
        <w:rPr>
          <w:b/>
        </w:rPr>
      </w:pPr>
    </w:p>
    <w:p w:rsidR="00C46653" w:rsidRPr="00C46653" w:rsidRDefault="00C46653" w:rsidP="00C46653">
      <w:pPr>
        <w:numPr>
          <w:ilvl w:val="0"/>
          <w:numId w:val="22"/>
        </w:numPr>
        <w:ind w:left="720"/>
      </w:pPr>
      <w:r w:rsidRPr="00C46653">
        <w:rPr>
          <w:b/>
        </w:rPr>
        <w:lastRenderedPageBreak/>
        <w:t xml:space="preserve">Delegation </w:t>
      </w:r>
    </w:p>
    <w:p w:rsidR="00C46653" w:rsidRPr="00C46653" w:rsidRDefault="00C46653" w:rsidP="00C46653">
      <w:pPr>
        <w:numPr>
          <w:ilvl w:val="1"/>
          <w:numId w:val="33"/>
        </w:numPr>
        <w:ind w:left="1080"/>
      </w:pPr>
      <w:r w:rsidRPr="00C46653">
        <w:t xml:space="preserve">The Plan’s delegated managed behavioral health vendor (if applicable) performs the adoption, updating and distribution (i.e. to the delegated behavioral health vendor’s practitioner network) for the behavioral health guidelines required by this policy. </w:t>
      </w:r>
    </w:p>
    <w:p w:rsidR="00C46653" w:rsidRPr="00C46653" w:rsidRDefault="00C46653" w:rsidP="00C46653">
      <w:pPr>
        <w:numPr>
          <w:ilvl w:val="1"/>
          <w:numId w:val="33"/>
        </w:numPr>
        <w:ind w:left="1080"/>
      </w:pPr>
      <w:r w:rsidRPr="00C46653">
        <w:t xml:space="preserve">The Plan may also delegate adoption, updating, and performance monitoring of specific disease state clinical practice guidelines to a disease management vendor. </w:t>
      </w:r>
    </w:p>
    <w:p w:rsidR="00C46653" w:rsidRPr="00C46653" w:rsidRDefault="00C46653" w:rsidP="00C46653">
      <w:pPr>
        <w:numPr>
          <w:ilvl w:val="1"/>
          <w:numId w:val="33"/>
        </w:numPr>
        <w:ind w:left="1080"/>
      </w:pPr>
      <w:r w:rsidRPr="00C46653">
        <w:t>The Plan and delegate(s) collaborate to monitor practitioner compliance with the adopted standards and to implement interventions for improvement, as applicable</w:t>
      </w:r>
    </w:p>
    <w:p w:rsidR="00C46653" w:rsidRPr="00C46653" w:rsidRDefault="00C46653" w:rsidP="00C46653">
      <w:pPr>
        <w:numPr>
          <w:ilvl w:val="1"/>
          <w:numId w:val="33"/>
        </w:numPr>
        <w:ind w:left="1080"/>
      </w:pPr>
      <w:r w:rsidRPr="00C46653">
        <w:t xml:space="preserve">Oversight of delegated processes </w:t>
      </w:r>
      <w:proofErr w:type="gramStart"/>
      <w:r w:rsidRPr="00C46653">
        <w:t>is conducted</w:t>
      </w:r>
      <w:proofErr w:type="gramEnd"/>
      <w:r w:rsidRPr="00C46653">
        <w:t xml:space="preserve"> as outlined in the Oversight of Delegated Quality Improvement policy and procedure. </w:t>
      </w:r>
    </w:p>
    <w:p w:rsidR="00C46653" w:rsidRPr="00C46653" w:rsidRDefault="00C46653" w:rsidP="00C46653">
      <w:pPr>
        <w:tabs>
          <w:tab w:val="num" w:pos="0"/>
        </w:tabs>
        <w:rPr>
          <w:b/>
        </w:rPr>
      </w:pPr>
    </w:p>
    <w:p w:rsidR="00C46653" w:rsidRPr="00C46653" w:rsidRDefault="00C46653" w:rsidP="00C46653">
      <w:pPr>
        <w:tabs>
          <w:tab w:val="num" w:pos="0"/>
        </w:tabs>
        <w:rPr>
          <w:b/>
        </w:rPr>
      </w:pPr>
      <w:r w:rsidRPr="00C46653">
        <w:rPr>
          <w:b/>
        </w:rPr>
        <w:t>Attachments</w:t>
      </w:r>
    </w:p>
    <w:p w:rsidR="00C46653" w:rsidRPr="00C46653" w:rsidRDefault="00C46653" w:rsidP="00C46653">
      <w:pPr>
        <w:numPr>
          <w:ilvl w:val="0"/>
          <w:numId w:val="25"/>
        </w:numPr>
        <w:ind w:left="360"/>
        <w:rPr>
          <w:b/>
        </w:rPr>
      </w:pPr>
      <w:r w:rsidRPr="00C46653">
        <w:t>Adopted Clinical Practice and Preventive Health Guidelines</w:t>
      </w:r>
    </w:p>
    <w:bookmarkStart w:id="0" w:name="_GoBack"/>
    <w:bookmarkEnd w:id="0"/>
    <w:bookmarkStart w:id="1" w:name="_MON_1617698032"/>
    <w:bookmarkEnd w:id="1"/>
    <w:p w:rsidR="00C46653" w:rsidRPr="00C46653" w:rsidRDefault="0068211E" w:rsidP="00AF2D94">
      <w:r>
        <w:rPr>
          <w:b/>
        </w:rPr>
        <w:object w:dxaOrig="1537"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5pt;height:49.5pt" o:ole="">
            <v:imagedata r:id="rId12" o:title=""/>
          </v:shape>
          <o:OLEObject Type="Embed" ProgID="Word.Document.12" ShapeID="_x0000_i1029" DrawAspect="Icon" ObjectID="_1617698038" r:id="rId13">
            <o:FieldCodes>\s</o:FieldCodes>
          </o:OLEObject>
        </w:object>
      </w:r>
    </w:p>
    <w:p w:rsidR="00C46653" w:rsidRPr="00C46653" w:rsidRDefault="00C46653" w:rsidP="00C46653">
      <w:pPr>
        <w:numPr>
          <w:ilvl w:val="0"/>
          <w:numId w:val="25"/>
        </w:numPr>
        <w:ind w:left="360"/>
      </w:pPr>
      <w:r w:rsidRPr="00C46653">
        <w:t>WA Addendum</w:t>
      </w:r>
    </w:p>
    <w:bookmarkStart w:id="2" w:name="_MON_1600491232"/>
    <w:bookmarkEnd w:id="2"/>
    <w:p w:rsidR="00C46653" w:rsidRPr="00C46653" w:rsidRDefault="00C46653" w:rsidP="00C46653">
      <w:pPr>
        <w:tabs>
          <w:tab w:val="num" w:pos="0"/>
        </w:tabs>
      </w:pPr>
      <w:r w:rsidRPr="00C46653">
        <w:object w:dxaOrig="1537" w:dyaOrig="997">
          <v:shape id="_x0000_i1026" type="#_x0000_t75" style="width:76.5pt;height:49.5pt" o:ole="">
            <v:imagedata r:id="rId14" o:title=""/>
          </v:shape>
          <o:OLEObject Type="Embed" ProgID="Word.Document.12" ShapeID="_x0000_i1026" DrawAspect="Icon" ObjectID="_1617698039" r:id="rId15">
            <o:FieldCodes>\s</o:FieldCodes>
          </o:OLEObject>
        </w:object>
      </w:r>
    </w:p>
    <w:p w:rsidR="00C46653" w:rsidRPr="00C46653" w:rsidRDefault="00C46653" w:rsidP="00C46653">
      <w:pPr>
        <w:numPr>
          <w:ilvl w:val="0"/>
          <w:numId w:val="25"/>
        </w:numPr>
        <w:ind w:left="360"/>
      </w:pPr>
      <w:r w:rsidRPr="00C46653">
        <w:t>WI Addendum</w:t>
      </w:r>
    </w:p>
    <w:bookmarkStart w:id="3" w:name="_MON_1598872191"/>
    <w:bookmarkEnd w:id="3"/>
    <w:p w:rsidR="00C46653" w:rsidRPr="00C46653" w:rsidRDefault="00C46653" w:rsidP="00C46653">
      <w:pPr>
        <w:tabs>
          <w:tab w:val="num" w:pos="0"/>
        </w:tabs>
      </w:pPr>
      <w:r w:rsidRPr="00C46653">
        <w:object w:dxaOrig="1537" w:dyaOrig="997">
          <v:shape id="_x0000_i1027" type="#_x0000_t75" style="width:76.5pt;height:49.5pt" o:ole="">
            <v:imagedata r:id="rId16" o:title=""/>
          </v:shape>
          <o:OLEObject Type="Embed" ProgID="Word.Document.12" ShapeID="_x0000_i1027" DrawAspect="Icon" ObjectID="_1617698040" r:id="rId17">
            <o:FieldCodes>\s</o:FieldCodes>
          </o:OLEObject>
        </w:object>
      </w:r>
    </w:p>
    <w:p w:rsidR="009D5928" w:rsidRPr="000465DE" w:rsidRDefault="009D5928">
      <w:pPr>
        <w:rPr>
          <w:b/>
          <w:bCs/>
        </w:rPr>
      </w:pPr>
    </w:p>
    <w:p w:rsidR="00350F22" w:rsidRDefault="00350F22" w:rsidP="00AF5490"/>
    <w:tbl>
      <w:tblPr>
        <w:tblStyle w:val="LightList-Accent1"/>
        <w:tblW w:w="95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100"/>
        <w:gridCol w:w="1170"/>
        <w:gridCol w:w="1260"/>
      </w:tblGrid>
      <w:tr w:rsidR="00B777AF" w:rsidRPr="00B777AF" w:rsidTr="00AF2D94">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100" w:type="dxa"/>
            <w:tcBorders>
              <w:left w:val="none" w:sz="0" w:space="0" w:color="auto"/>
              <w:right w:val="none" w:sz="0" w:space="0" w:color="auto"/>
            </w:tcBorders>
            <w:shd w:val="clear" w:color="auto" w:fill="00548C"/>
          </w:tcPr>
          <w:p w:rsidR="00B777AF" w:rsidRPr="00B777AF" w:rsidRDefault="00B777AF" w:rsidP="00B777AF">
            <w:pPr>
              <w:rPr>
                <w:bCs w:val="0"/>
              </w:rPr>
            </w:pPr>
            <w:bookmarkStart w:id="4" w:name="Revision_Log"/>
            <w:r w:rsidRPr="00B777AF">
              <w:rPr>
                <w:bCs w:val="0"/>
              </w:rPr>
              <w:t>Reviews</w:t>
            </w:r>
            <w:r>
              <w:rPr>
                <w:bCs w:val="0"/>
              </w:rPr>
              <w:t>, Revisions, and Approvals</w:t>
            </w:r>
            <w:bookmarkEnd w:id="4"/>
          </w:p>
        </w:tc>
        <w:tc>
          <w:tcPr>
            <w:tcW w:w="1170" w:type="dxa"/>
            <w:shd w:val="clear" w:color="auto" w:fill="00548C"/>
          </w:tcPr>
          <w:p w:rsidR="00B777AF" w:rsidRPr="00B777AF" w:rsidRDefault="00B777AF" w:rsidP="005776FD">
            <w:pPr>
              <w:jc w:val="center"/>
              <w:cnfStyle w:val="100000000000" w:firstRow="1" w:lastRow="0" w:firstColumn="0" w:lastColumn="0" w:oddVBand="0" w:evenVBand="0" w:oddHBand="0" w:evenHBand="0" w:firstRowFirstColumn="0" w:firstRowLastColumn="0" w:lastRowFirstColumn="0" w:lastRowLastColumn="0"/>
              <w:rPr>
                <w:bCs w:val="0"/>
              </w:rPr>
            </w:pPr>
            <w:r w:rsidRPr="00B777AF">
              <w:rPr>
                <w:bCs w:val="0"/>
              </w:rPr>
              <w:t>Date</w:t>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right w:val="none" w:sz="0" w:space="0" w:color="auto"/>
            </w:tcBorders>
            <w:shd w:val="clear" w:color="auto" w:fill="00548C"/>
          </w:tcPr>
          <w:p w:rsidR="00B777AF" w:rsidRPr="00B777AF" w:rsidRDefault="001818D7" w:rsidP="00857C10">
            <w:pPr>
              <w:jc w:val="center"/>
              <w:rPr>
                <w:bCs w:val="0"/>
              </w:rPr>
            </w:pPr>
            <w:r>
              <w:rPr>
                <w:bCs w:val="0"/>
              </w:rPr>
              <w:t>Approval</w:t>
            </w:r>
            <w:r w:rsidR="00B777AF" w:rsidRPr="00B777AF">
              <w:rPr>
                <w:bCs w:val="0"/>
              </w:rPr>
              <w:t xml:space="preserve"> Date</w:t>
            </w:r>
          </w:p>
        </w:tc>
      </w:tr>
      <w:tr w:rsidR="00B777AF" w:rsidTr="00AF2D9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00" w:type="dxa"/>
            <w:tcBorders>
              <w:top w:val="none" w:sz="0" w:space="0" w:color="auto"/>
              <w:left w:val="none" w:sz="0" w:space="0" w:color="auto"/>
              <w:bottom w:val="none" w:sz="0" w:space="0" w:color="auto"/>
              <w:right w:val="none" w:sz="0" w:space="0" w:color="auto"/>
            </w:tcBorders>
          </w:tcPr>
          <w:p w:rsidR="00B777AF" w:rsidRDefault="00C46653" w:rsidP="00CC15DB">
            <w:pPr>
              <w:tabs>
                <w:tab w:val="num" w:pos="720"/>
              </w:tabs>
            </w:pPr>
            <w:r>
              <w:t xml:space="preserve">Clinical Practice Guidelines created </w:t>
            </w:r>
          </w:p>
        </w:tc>
        <w:tc>
          <w:tcPr>
            <w:tcW w:w="1170" w:type="dxa"/>
            <w:tcBorders>
              <w:top w:val="none" w:sz="0" w:space="0" w:color="auto"/>
              <w:bottom w:val="none" w:sz="0" w:space="0" w:color="auto"/>
            </w:tcBorders>
          </w:tcPr>
          <w:p w:rsidR="00B777AF" w:rsidRDefault="00C46653" w:rsidP="005776FD">
            <w:pPr>
              <w:jc w:val="center"/>
              <w:cnfStyle w:val="000000100000" w:firstRow="0" w:lastRow="0" w:firstColumn="0" w:lastColumn="0" w:oddVBand="0" w:evenVBand="0" w:oddHBand="1" w:evenHBand="0" w:firstRowFirstColumn="0" w:firstRowLastColumn="0" w:lastRowFirstColumn="0" w:lastRowLastColumn="0"/>
            </w:pPr>
            <w:r>
              <w:t>08/02</w:t>
            </w:r>
          </w:p>
        </w:tc>
        <w:tc>
          <w:tcPr>
            <w:cnfStyle w:val="000010000000" w:firstRow="0" w:lastRow="0" w:firstColumn="0" w:lastColumn="0" w:oddVBand="1"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tcPr>
          <w:p w:rsidR="00B777AF" w:rsidRDefault="00C46653" w:rsidP="00857C10">
            <w:pPr>
              <w:jc w:val="center"/>
            </w:pPr>
            <w:r>
              <w:t>08/02</w:t>
            </w:r>
          </w:p>
        </w:tc>
      </w:tr>
      <w:tr w:rsidR="00C44F3F" w:rsidTr="00AF2D94">
        <w:tc>
          <w:tcPr>
            <w:cnfStyle w:val="000010000000" w:firstRow="0" w:lastRow="0" w:firstColumn="0" w:lastColumn="0" w:oddVBand="1" w:evenVBand="0" w:oddHBand="0" w:evenHBand="0" w:firstRowFirstColumn="0" w:firstRowLastColumn="0" w:lastRowFirstColumn="0" w:lastRowLastColumn="0"/>
            <w:tcW w:w="7100" w:type="dxa"/>
          </w:tcPr>
          <w:p w:rsidR="00C44F3F" w:rsidRDefault="00C44F3F" w:rsidP="00C44F3F">
            <w:pPr>
              <w:tabs>
                <w:tab w:val="num" w:pos="720"/>
              </w:tabs>
            </w:pPr>
            <w:r w:rsidRPr="009D35EE">
              <w:t xml:space="preserve">Updated Policy Description, Updated bullet points 3.b. New or updated guidelines…, 3.e. If a member or potential member requests…, 4.a. If applicable based on state contract and accreditation…, 4.b. The analysis can be either…, 5.a. Cenpatico Behavioral Health is…, and 5.b.ii. Plan distributes the… Removed CC.UM.10 – New Technology Review from references. </w:t>
            </w:r>
          </w:p>
        </w:tc>
        <w:tc>
          <w:tcPr>
            <w:tcW w:w="1170" w:type="dxa"/>
          </w:tcPr>
          <w:p w:rsidR="00C44F3F" w:rsidRDefault="00C44F3F" w:rsidP="00C44F3F">
            <w:pPr>
              <w:jc w:val="center"/>
              <w:cnfStyle w:val="000000000000" w:firstRow="0" w:lastRow="0" w:firstColumn="0" w:lastColumn="0" w:oddVBand="0" w:evenVBand="0" w:oddHBand="0" w:evenHBand="0" w:firstRowFirstColumn="0" w:firstRowLastColumn="0" w:lastRowFirstColumn="0" w:lastRowLastColumn="0"/>
            </w:pPr>
            <w:r w:rsidRPr="009D35EE">
              <w:t>07/15</w:t>
            </w:r>
          </w:p>
        </w:tc>
        <w:tc>
          <w:tcPr>
            <w:cnfStyle w:val="000010000000" w:firstRow="0" w:lastRow="0" w:firstColumn="0" w:lastColumn="0" w:oddVBand="1" w:evenVBand="0" w:oddHBand="0" w:evenHBand="0" w:firstRowFirstColumn="0" w:firstRowLastColumn="0" w:lastRowFirstColumn="0" w:lastRowLastColumn="0"/>
            <w:tcW w:w="1260" w:type="dxa"/>
          </w:tcPr>
          <w:p w:rsidR="00C44F3F" w:rsidRDefault="00C44F3F" w:rsidP="00C44F3F">
            <w:pPr>
              <w:jc w:val="center"/>
            </w:pPr>
            <w:r>
              <w:t>07/15</w:t>
            </w:r>
          </w:p>
        </w:tc>
      </w:tr>
      <w:tr w:rsidR="00C44F3F" w:rsidTr="00AF2D9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00" w:type="dxa"/>
          </w:tcPr>
          <w:p w:rsidR="00C44F3F" w:rsidRDefault="00C44F3F" w:rsidP="00C44F3F">
            <w:pPr>
              <w:tabs>
                <w:tab w:val="num" w:pos="720"/>
              </w:tabs>
            </w:pPr>
            <w:r w:rsidRPr="009D35EE">
              <w:t>Added Health Services Group New York (HSGNY) Addendum</w:t>
            </w:r>
          </w:p>
        </w:tc>
        <w:tc>
          <w:tcPr>
            <w:tcW w:w="1170" w:type="dxa"/>
          </w:tcPr>
          <w:p w:rsidR="00C44F3F" w:rsidRDefault="00C44F3F" w:rsidP="00C44F3F">
            <w:pPr>
              <w:jc w:val="center"/>
              <w:cnfStyle w:val="000000100000" w:firstRow="0" w:lastRow="0" w:firstColumn="0" w:lastColumn="0" w:oddVBand="0" w:evenVBand="0" w:oddHBand="1" w:evenHBand="0" w:firstRowFirstColumn="0" w:firstRowLastColumn="0" w:lastRowFirstColumn="0" w:lastRowLastColumn="0"/>
            </w:pPr>
            <w:r>
              <w:t>0</w:t>
            </w:r>
            <w:r w:rsidRPr="009D35EE">
              <w:t>3/16</w:t>
            </w:r>
          </w:p>
        </w:tc>
        <w:tc>
          <w:tcPr>
            <w:cnfStyle w:val="000010000000" w:firstRow="0" w:lastRow="0" w:firstColumn="0" w:lastColumn="0" w:oddVBand="1" w:evenVBand="0" w:oddHBand="0" w:evenHBand="0" w:firstRowFirstColumn="0" w:firstRowLastColumn="0" w:lastRowFirstColumn="0" w:lastRowLastColumn="0"/>
            <w:tcW w:w="1260" w:type="dxa"/>
          </w:tcPr>
          <w:p w:rsidR="00C44F3F" w:rsidRDefault="00C44F3F" w:rsidP="00C44F3F">
            <w:pPr>
              <w:jc w:val="center"/>
            </w:pPr>
            <w:r>
              <w:t>06/16</w:t>
            </w:r>
          </w:p>
        </w:tc>
      </w:tr>
      <w:tr w:rsidR="00C44F3F" w:rsidTr="00AF2D94">
        <w:tc>
          <w:tcPr>
            <w:cnfStyle w:val="000010000000" w:firstRow="0" w:lastRow="0" w:firstColumn="0" w:lastColumn="0" w:oddVBand="1" w:evenVBand="0" w:oddHBand="0" w:evenHBand="0" w:firstRowFirstColumn="0" w:firstRowLastColumn="0" w:lastRowFirstColumn="0" w:lastRowLastColumn="0"/>
            <w:tcW w:w="7100" w:type="dxa"/>
          </w:tcPr>
          <w:p w:rsidR="00C44F3F" w:rsidRDefault="00C44F3F" w:rsidP="00C44F3F">
            <w:pPr>
              <w:tabs>
                <w:tab w:val="num" w:pos="720"/>
              </w:tabs>
            </w:pPr>
            <w:r w:rsidRPr="009D35EE">
              <w:t xml:space="preserve">Updated References. Updated Attachment 1 – Adopted Clinical Practice and Preventive Health Guidelines. Updated References. Updated Clinical Practice Guidelines and Preventive Guidelines. Minor grammar changes. Updated “Procedure: Development, Adoption, and Revision”; A), B), C), and D). Updated “Internal Use of Practice Guidelines”; 2.a., 2.b., and 2.e. to include “clinical decision support tools”. Updated “Delegation” 5.a. The Plan’s delegated managed…, and 5.b.i Plan has delegated the adoption... </w:t>
            </w:r>
          </w:p>
        </w:tc>
        <w:tc>
          <w:tcPr>
            <w:tcW w:w="1170" w:type="dxa"/>
          </w:tcPr>
          <w:p w:rsidR="00C44F3F" w:rsidRDefault="00C44F3F" w:rsidP="00C44F3F">
            <w:pPr>
              <w:jc w:val="center"/>
              <w:cnfStyle w:val="000000000000" w:firstRow="0" w:lastRow="0" w:firstColumn="0" w:lastColumn="0" w:oddVBand="0" w:evenVBand="0" w:oddHBand="0" w:evenHBand="0" w:firstRowFirstColumn="0" w:firstRowLastColumn="0" w:lastRowFirstColumn="0" w:lastRowLastColumn="0"/>
            </w:pPr>
            <w:r w:rsidRPr="009D35EE">
              <w:t>08/16</w:t>
            </w:r>
          </w:p>
        </w:tc>
        <w:tc>
          <w:tcPr>
            <w:cnfStyle w:val="000010000000" w:firstRow="0" w:lastRow="0" w:firstColumn="0" w:lastColumn="0" w:oddVBand="1" w:evenVBand="0" w:oddHBand="0" w:evenHBand="0" w:firstRowFirstColumn="0" w:firstRowLastColumn="0" w:lastRowFirstColumn="0" w:lastRowLastColumn="0"/>
            <w:tcW w:w="1260" w:type="dxa"/>
          </w:tcPr>
          <w:p w:rsidR="00C44F3F" w:rsidRDefault="00C44F3F" w:rsidP="00C44F3F">
            <w:pPr>
              <w:jc w:val="center"/>
            </w:pPr>
          </w:p>
        </w:tc>
      </w:tr>
      <w:tr w:rsidR="00C44F3F" w:rsidTr="00AF2D9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00" w:type="dxa"/>
          </w:tcPr>
          <w:p w:rsidR="00C44F3F" w:rsidRDefault="00C44F3F" w:rsidP="00C44F3F">
            <w:pPr>
              <w:tabs>
                <w:tab w:val="num" w:pos="720"/>
              </w:tabs>
            </w:pPr>
            <w:r w:rsidRPr="009D35EE">
              <w:lastRenderedPageBreak/>
              <w:t xml:space="preserve">Updated policy to include Medicare specific language throughout. Minor grammar changes. Updated References. Added Chronic Obstructive Pulmonary disease to clinical practice guidelines inclusion list. Update 4. Performance Measurement to include CMS. </w:t>
            </w:r>
          </w:p>
        </w:tc>
        <w:tc>
          <w:tcPr>
            <w:tcW w:w="1170" w:type="dxa"/>
          </w:tcPr>
          <w:p w:rsidR="00C44F3F" w:rsidRDefault="00C44F3F" w:rsidP="00C44F3F">
            <w:pPr>
              <w:jc w:val="center"/>
              <w:cnfStyle w:val="000000100000" w:firstRow="0" w:lastRow="0" w:firstColumn="0" w:lastColumn="0" w:oddVBand="0" w:evenVBand="0" w:oddHBand="1" w:evenHBand="0" w:firstRowFirstColumn="0" w:firstRowLastColumn="0" w:lastRowFirstColumn="0" w:lastRowLastColumn="0"/>
            </w:pPr>
            <w:r w:rsidRPr="009D35EE">
              <w:t>11/16</w:t>
            </w:r>
          </w:p>
        </w:tc>
        <w:tc>
          <w:tcPr>
            <w:cnfStyle w:val="000010000000" w:firstRow="0" w:lastRow="0" w:firstColumn="0" w:lastColumn="0" w:oddVBand="1" w:evenVBand="0" w:oddHBand="0" w:evenHBand="0" w:firstRowFirstColumn="0" w:firstRowLastColumn="0" w:lastRowFirstColumn="0" w:lastRowLastColumn="0"/>
            <w:tcW w:w="1260" w:type="dxa"/>
          </w:tcPr>
          <w:p w:rsidR="00C44F3F" w:rsidRDefault="00C44F3F" w:rsidP="00C44F3F">
            <w:pPr>
              <w:jc w:val="center"/>
            </w:pPr>
          </w:p>
        </w:tc>
      </w:tr>
      <w:tr w:rsidR="00C44F3F" w:rsidTr="00AF2D94">
        <w:tc>
          <w:tcPr>
            <w:cnfStyle w:val="000010000000" w:firstRow="0" w:lastRow="0" w:firstColumn="0" w:lastColumn="0" w:oddVBand="1" w:evenVBand="0" w:oddHBand="0" w:evenHBand="0" w:firstRowFirstColumn="0" w:firstRowLastColumn="0" w:lastRowFirstColumn="0" w:lastRowLastColumn="0"/>
            <w:tcW w:w="7100" w:type="dxa"/>
          </w:tcPr>
          <w:p w:rsidR="00C44F3F" w:rsidRDefault="00C44F3F" w:rsidP="00C44F3F">
            <w:pPr>
              <w:tabs>
                <w:tab w:val="num" w:pos="720"/>
              </w:tabs>
            </w:pPr>
            <w:r w:rsidRPr="000C586B">
              <w:t>Referenced the department as QI/QM to encompass all Plans’ Quality department name.</w:t>
            </w:r>
            <w:r>
              <w:t xml:space="preserve"> Removed statement under Policy description, “age groups under 65 years and older are not applicable to Medicare” and “Antepartum Fetal Surveillance Testing Guidelines”. Updated 2. C. ii. To include “</w:t>
            </w:r>
            <w:r>
              <w:rPr>
                <w:noProof/>
              </w:rPr>
              <w:t>which includes licensed clinical staff”. Removed 2.e. “</w:t>
            </w:r>
            <w:r w:rsidRPr="000B7400">
              <w:rPr>
                <w:noProof/>
              </w:rPr>
              <w:t>When a change occurs in a clinical practice or preventive health guideline, the clinical documentation system, including clinical decision support tools, is updated promptly to reflect the change</w:t>
            </w:r>
            <w:r>
              <w:rPr>
                <w:noProof/>
              </w:rPr>
              <w:t>” and f. “</w:t>
            </w:r>
            <w:r w:rsidRPr="000B7400">
              <w:rPr>
                <w:noProof/>
              </w:rPr>
              <w:t>The customized assessments and utilization management tools</w:t>
            </w:r>
            <w:r>
              <w:rPr>
                <w:noProof/>
              </w:rPr>
              <w:t xml:space="preserve"> are reviewed on a biannual</w:t>
            </w:r>
            <w:r w:rsidRPr="000B7400">
              <w:rPr>
                <w:noProof/>
              </w:rPr>
              <w:t xml:space="preserve"> basis to ensure they reflect the latest scientific and evidence-based practice</w:t>
            </w:r>
            <w:r>
              <w:rPr>
                <w:noProof/>
              </w:rPr>
              <w:t>”. Updated 4.a. to include, “at least annually”. Updated 5.b. removing, i. “The Plan has delegated the adoption and updating of the asthma and diabetes clinical practice guidelines to the disease management vendor” and ii. “The Plan distributes the guidelines to Plan practitioners as applicable”.</w:t>
            </w:r>
          </w:p>
        </w:tc>
        <w:tc>
          <w:tcPr>
            <w:tcW w:w="1170" w:type="dxa"/>
          </w:tcPr>
          <w:p w:rsidR="00C44F3F" w:rsidRDefault="00C44F3F" w:rsidP="00C44F3F">
            <w:pPr>
              <w:jc w:val="center"/>
              <w:cnfStyle w:val="000000000000" w:firstRow="0" w:lastRow="0" w:firstColumn="0" w:lastColumn="0" w:oddVBand="0" w:evenVBand="0" w:oddHBand="0" w:evenHBand="0" w:firstRowFirstColumn="0" w:firstRowLastColumn="0" w:lastRowFirstColumn="0" w:lastRowLastColumn="0"/>
            </w:pPr>
            <w:r>
              <w:t>07/17</w:t>
            </w:r>
          </w:p>
        </w:tc>
        <w:tc>
          <w:tcPr>
            <w:cnfStyle w:val="000010000000" w:firstRow="0" w:lastRow="0" w:firstColumn="0" w:lastColumn="0" w:oddVBand="1" w:evenVBand="0" w:oddHBand="0" w:evenHBand="0" w:firstRowFirstColumn="0" w:firstRowLastColumn="0" w:lastRowFirstColumn="0" w:lastRowLastColumn="0"/>
            <w:tcW w:w="1260" w:type="dxa"/>
          </w:tcPr>
          <w:p w:rsidR="00C44F3F" w:rsidRDefault="00C44F3F" w:rsidP="00C44F3F">
            <w:pPr>
              <w:jc w:val="center"/>
            </w:pPr>
            <w:r>
              <w:t>07/17</w:t>
            </w:r>
          </w:p>
        </w:tc>
      </w:tr>
      <w:tr w:rsidR="00C44F3F" w:rsidTr="00AF2D9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00" w:type="dxa"/>
          </w:tcPr>
          <w:p w:rsidR="00C44F3F" w:rsidRDefault="00C44F3F" w:rsidP="00C44F3F">
            <w:pPr>
              <w:tabs>
                <w:tab w:val="num" w:pos="720"/>
              </w:tabs>
            </w:pPr>
            <w:r>
              <w:t xml:space="preserve">Updated Attachment 1 to include the most recent guidelines. </w:t>
            </w:r>
          </w:p>
        </w:tc>
        <w:tc>
          <w:tcPr>
            <w:tcW w:w="1170" w:type="dxa"/>
          </w:tcPr>
          <w:p w:rsidR="00C44F3F" w:rsidRDefault="00C44F3F" w:rsidP="00C44F3F">
            <w:pPr>
              <w:jc w:val="center"/>
              <w:cnfStyle w:val="000000100000" w:firstRow="0" w:lastRow="0" w:firstColumn="0" w:lastColumn="0" w:oddVBand="0" w:evenVBand="0" w:oddHBand="1" w:evenHBand="0" w:firstRowFirstColumn="0" w:firstRowLastColumn="0" w:lastRowFirstColumn="0" w:lastRowLastColumn="0"/>
            </w:pPr>
            <w:r>
              <w:t>09/17</w:t>
            </w:r>
          </w:p>
        </w:tc>
        <w:tc>
          <w:tcPr>
            <w:cnfStyle w:val="000010000000" w:firstRow="0" w:lastRow="0" w:firstColumn="0" w:lastColumn="0" w:oddVBand="1" w:evenVBand="0" w:oddHBand="0" w:evenHBand="0" w:firstRowFirstColumn="0" w:firstRowLastColumn="0" w:lastRowFirstColumn="0" w:lastRowLastColumn="0"/>
            <w:tcW w:w="1260" w:type="dxa"/>
          </w:tcPr>
          <w:p w:rsidR="00C44F3F" w:rsidRDefault="00C44F3F" w:rsidP="00C44F3F">
            <w:pPr>
              <w:jc w:val="center"/>
            </w:pPr>
          </w:p>
        </w:tc>
      </w:tr>
      <w:tr w:rsidR="00C44F3F" w:rsidTr="00AF2D94">
        <w:tc>
          <w:tcPr>
            <w:cnfStyle w:val="000010000000" w:firstRow="0" w:lastRow="0" w:firstColumn="0" w:lastColumn="0" w:oddVBand="1" w:evenVBand="0" w:oddHBand="0" w:evenHBand="0" w:firstRowFirstColumn="0" w:firstRowLastColumn="0" w:lastRowFirstColumn="0" w:lastRowLastColumn="0"/>
            <w:tcW w:w="7100" w:type="dxa"/>
          </w:tcPr>
          <w:p w:rsidR="00C44F3F" w:rsidRDefault="00C44F3F" w:rsidP="00C44F3F">
            <w:pPr>
              <w:tabs>
                <w:tab w:val="num" w:pos="720"/>
              </w:tabs>
            </w:pPr>
            <w:r>
              <w:t>Added Sepsis guidelines and updated Flu and Smoking Cessation During Pregnancy in Attachment 1.</w:t>
            </w:r>
          </w:p>
        </w:tc>
        <w:tc>
          <w:tcPr>
            <w:tcW w:w="1170" w:type="dxa"/>
          </w:tcPr>
          <w:p w:rsidR="00C44F3F" w:rsidRDefault="00C44F3F" w:rsidP="00C44F3F">
            <w:pPr>
              <w:jc w:val="center"/>
              <w:cnfStyle w:val="000000000000" w:firstRow="0" w:lastRow="0" w:firstColumn="0" w:lastColumn="0" w:oddVBand="0" w:evenVBand="0" w:oddHBand="0" w:evenHBand="0" w:firstRowFirstColumn="0" w:firstRowLastColumn="0" w:lastRowFirstColumn="0" w:lastRowLastColumn="0"/>
            </w:pPr>
            <w:r>
              <w:t>01/18</w:t>
            </w:r>
          </w:p>
        </w:tc>
        <w:tc>
          <w:tcPr>
            <w:cnfStyle w:val="000010000000" w:firstRow="0" w:lastRow="0" w:firstColumn="0" w:lastColumn="0" w:oddVBand="1" w:evenVBand="0" w:oddHBand="0" w:evenHBand="0" w:firstRowFirstColumn="0" w:firstRowLastColumn="0" w:lastRowFirstColumn="0" w:lastRowLastColumn="0"/>
            <w:tcW w:w="1260" w:type="dxa"/>
          </w:tcPr>
          <w:p w:rsidR="00C44F3F" w:rsidRDefault="00C44F3F" w:rsidP="00C44F3F">
            <w:pPr>
              <w:jc w:val="center"/>
            </w:pPr>
            <w:r>
              <w:t>01/18</w:t>
            </w:r>
          </w:p>
        </w:tc>
      </w:tr>
      <w:tr w:rsidR="00C44F3F" w:rsidTr="00AF2D9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00" w:type="dxa"/>
          </w:tcPr>
          <w:p w:rsidR="00C44F3F" w:rsidRDefault="00C44F3F" w:rsidP="00C44F3F">
            <w:pPr>
              <w:tabs>
                <w:tab w:val="num" w:pos="720"/>
              </w:tabs>
            </w:pPr>
            <w:r>
              <w:t xml:space="preserve">Updated Attachments to include WA Addendum. </w:t>
            </w:r>
          </w:p>
        </w:tc>
        <w:tc>
          <w:tcPr>
            <w:tcW w:w="1170" w:type="dxa"/>
          </w:tcPr>
          <w:p w:rsidR="00C44F3F" w:rsidRDefault="00C44F3F" w:rsidP="00C44F3F">
            <w:pPr>
              <w:jc w:val="center"/>
              <w:cnfStyle w:val="000000100000" w:firstRow="0" w:lastRow="0" w:firstColumn="0" w:lastColumn="0" w:oddVBand="0" w:evenVBand="0" w:oddHBand="1" w:evenHBand="0" w:firstRowFirstColumn="0" w:firstRowLastColumn="0" w:lastRowFirstColumn="0" w:lastRowLastColumn="0"/>
            </w:pPr>
            <w:r>
              <w:t>02/18</w:t>
            </w:r>
          </w:p>
        </w:tc>
        <w:tc>
          <w:tcPr>
            <w:cnfStyle w:val="000010000000" w:firstRow="0" w:lastRow="0" w:firstColumn="0" w:lastColumn="0" w:oddVBand="1" w:evenVBand="0" w:oddHBand="0" w:evenHBand="0" w:firstRowFirstColumn="0" w:firstRowLastColumn="0" w:lastRowFirstColumn="0" w:lastRowLastColumn="0"/>
            <w:tcW w:w="1260" w:type="dxa"/>
          </w:tcPr>
          <w:p w:rsidR="00C44F3F" w:rsidRDefault="00C44F3F" w:rsidP="00C44F3F">
            <w:pPr>
              <w:jc w:val="center"/>
            </w:pPr>
          </w:p>
        </w:tc>
      </w:tr>
      <w:tr w:rsidR="00C44F3F" w:rsidTr="00AF2D94">
        <w:tc>
          <w:tcPr>
            <w:cnfStyle w:val="000010000000" w:firstRow="0" w:lastRow="0" w:firstColumn="0" w:lastColumn="0" w:oddVBand="1" w:evenVBand="0" w:oddHBand="0" w:evenHBand="0" w:firstRowFirstColumn="0" w:firstRowLastColumn="0" w:lastRowFirstColumn="0" w:lastRowLastColumn="0"/>
            <w:tcW w:w="7100" w:type="dxa"/>
          </w:tcPr>
          <w:p w:rsidR="00C44F3F" w:rsidRDefault="00C44F3F" w:rsidP="00C44F3F">
            <w:pPr>
              <w:tabs>
                <w:tab w:val="num" w:pos="720"/>
              </w:tabs>
            </w:pPr>
            <w:r>
              <w:t>Updated policy and reference number to CP.CPC.03.</w:t>
            </w:r>
          </w:p>
          <w:p w:rsidR="00C44F3F" w:rsidRDefault="00C44F3F" w:rsidP="00C44F3F">
            <w:pPr>
              <w:tabs>
                <w:tab w:val="num" w:pos="720"/>
              </w:tabs>
            </w:pPr>
            <w:r>
              <w:t>Updated Attachment 1 Centene Corporate CPGs.</w:t>
            </w:r>
          </w:p>
          <w:p w:rsidR="00C44F3F" w:rsidRDefault="00C44F3F" w:rsidP="00C44F3F">
            <w:pPr>
              <w:tabs>
                <w:tab w:val="num" w:pos="720"/>
              </w:tabs>
            </w:pPr>
            <w:r>
              <w:t>Changed revision schedule to annual instead of every 2 years.</w:t>
            </w:r>
          </w:p>
          <w:p w:rsidR="00C44F3F" w:rsidRDefault="00C44F3F" w:rsidP="00C44F3F">
            <w:pPr>
              <w:tabs>
                <w:tab w:val="num" w:pos="720"/>
              </w:tabs>
            </w:pPr>
            <w:r>
              <w:t>Removed general NCQA requirements for quantity and type of guidelines plans must adopt.</w:t>
            </w:r>
          </w:p>
        </w:tc>
        <w:tc>
          <w:tcPr>
            <w:tcW w:w="1170" w:type="dxa"/>
          </w:tcPr>
          <w:p w:rsidR="00C44F3F" w:rsidRDefault="00C44F3F" w:rsidP="00C44F3F">
            <w:pPr>
              <w:jc w:val="center"/>
              <w:cnfStyle w:val="000000000000" w:firstRow="0" w:lastRow="0" w:firstColumn="0" w:lastColumn="0" w:oddVBand="0" w:evenVBand="0" w:oddHBand="0" w:evenHBand="0" w:firstRowFirstColumn="0" w:firstRowLastColumn="0" w:lastRowFirstColumn="0" w:lastRowLastColumn="0"/>
            </w:pPr>
            <w:r>
              <w:t>07/18</w:t>
            </w:r>
          </w:p>
        </w:tc>
        <w:tc>
          <w:tcPr>
            <w:cnfStyle w:val="000010000000" w:firstRow="0" w:lastRow="0" w:firstColumn="0" w:lastColumn="0" w:oddVBand="1" w:evenVBand="0" w:oddHBand="0" w:evenHBand="0" w:firstRowFirstColumn="0" w:firstRowLastColumn="0" w:lastRowFirstColumn="0" w:lastRowLastColumn="0"/>
            <w:tcW w:w="1260" w:type="dxa"/>
          </w:tcPr>
          <w:p w:rsidR="00C44F3F" w:rsidRDefault="00C44F3F" w:rsidP="00C44F3F">
            <w:pPr>
              <w:jc w:val="center"/>
            </w:pPr>
            <w:r>
              <w:t>07/18</w:t>
            </w:r>
          </w:p>
        </w:tc>
      </w:tr>
      <w:tr w:rsidR="00C44F3F" w:rsidTr="00AF2D9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00" w:type="dxa"/>
          </w:tcPr>
          <w:p w:rsidR="00C44F3F" w:rsidRDefault="00C44F3F" w:rsidP="00C44F3F">
            <w:pPr>
              <w:tabs>
                <w:tab w:val="num" w:pos="720"/>
              </w:tabs>
            </w:pPr>
            <w:r>
              <w:t>Added WI addendum to attachments</w:t>
            </w:r>
          </w:p>
        </w:tc>
        <w:tc>
          <w:tcPr>
            <w:tcW w:w="1170" w:type="dxa"/>
          </w:tcPr>
          <w:p w:rsidR="00C44F3F" w:rsidRDefault="00C44F3F" w:rsidP="00C44F3F">
            <w:pPr>
              <w:jc w:val="center"/>
              <w:cnfStyle w:val="000000100000" w:firstRow="0" w:lastRow="0" w:firstColumn="0" w:lastColumn="0" w:oddVBand="0" w:evenVBand="0" w:oddHBand="1" w:evenHBand="0" w:firstRowFirstColumn="0" w:firstRowLastColumn="0" w:lastRowFirstColumn="0" w:lastRowLastColumn="0"/>
            </w:pPr>
            <w:r>
              <w:t>09/18</w:t>
            </w:r>
          </w:p>
        </w:tc>
        <w:tc>
          <w:tcPr>
            <w:cnfStyle w:val="000010000000" w:firstRow="0" w:lastRow="0" w:firstColumn="0" w:lastColumn="0" w:oddVBand="1" w:evenVBand="0" w:oddHBand="0" w:evenHBand="0" w:firstRowFirstColumn="0" w:firstRowLastColumn="0" w:lastRowFirstColumn="0" w:lastRowLastColumn="0"/>
            <w:tcW w:w="1260" w:type="dxa"/>
          </w:tcPr>
          <w:p w:rsidR="00C44F3F" w:rsidRDefault="00C44F3F" w:rsidP="00C44F3F">
            <w:pPr>
              <w:jc w:val="center"/>
            </w:pPr>
          </w:p>
        </w:tc>
      </w:tr>
      <w:tr w:rsidR="00C44F3F" w:rsidTr="00AF2D94">
        <w:trPr>
          <w:trHeight w:val="358"/>
        </w:trPr>
        <w:tc>
          <w:tcPr>
            <w:cnfStyle w:val="000010000000" w:firstRow="0" w:lastRow="0" w:firstColumn="0" w:lastColumn="0" w:oddVBand="1" w:evenVBand="0" w:oddHBand="0" w:evenHBand="0" w:firstRowFirstColumn="0" w:firstRowLastColumn="0" w:lastRowFirstColumn="0" w:lastRowLastColumn="0"/>
            <w:tcW w:w="7100" w:type="dxa"/>
          </w:tcPr>
          <w:p w:rsidR="00C44F3F" w:rsidRDefault="00C44F3F" w:rsidP="00C44F3F">
            <w:pPr>
              <w:tabs>
                <w:tab w:val="num" w:pos="720"/>
              </w:tabs>
            </w:pPr>
            <w:r w:rsidRPr="00C44F3F">
              <w:t>Added “may” in C.6 so that methods “may” include the following</w:t>
            </w:r>
          </w:p>
        </w:tc>
        <w:tc>
          <w:tcPr>
            <w:tcW w:w="1170" w:type="dxa"/>
          </w:tcPr>
          <w:p w:rsidR="00C44F3F" w:rsidRDefault="00C44F3F" w:rsidP="00C44F3F">
            <w:pPr>
              <w:jc w:val="center"/>
              <w:cnfStyle w:val="000000000000" w:firstRow="0" w:lastRow="0" w:firstColumn="0" w:lastColumn="0" w:oddVBand="0" w:evenVBand="0" w:oddHBand="0" w:evenHBand="0" w:firstRowFirstColumn="0" w:firstRowLastColumn="0" w:lastRowFirstColumn="0" w:lastRowLastColumn="0"/>
            </w:pPr>
            <w:r>
              <w:t>03/19</w:t>
            </w:r>
          </w:p>
        </w:tc>
        <w:tc>
          <w:tcPr>
            <w:cnfStyle w:val="000010000000" w:firstRow="0" w:lastRow="0" w:firstColumn="0" w:lastColumn="0" w:oddVBand="1" w:evenVBand="0" w:oddHBand="0" w:evenHBand="0" w:firstRowFirstColumn="0" w:firstRowLastColumn="0" w:lastRowFirstColumn="0" w:lastRowLastColumn="0"/>
            <w:tcW w:w="1260" w:type="dxa"/>
          </w:tcPr>
          <w:p w:rsidR="00C44F3F" w:rsidRDefault="00C44F3F" w:rsidP="00C44F3F">
            <w:pPr>
              <w:jc w:val="center"/>
            </w:pPr>
          </w:p>
        </w:tc>
      </w:tr>
      <w:tr w:rsidR="00C44F3F" w:rsidTr="00AF2D9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00" w:type="dxa"/>
          </w:tcPr>
          <w:p w:rsidR="00C44F3F" w:rsidRPr="00D05641" w:rsidRDefault="00C44F3F" w:rsidP="00C44F3F">
            <w:pPr>
              <w:tabs>
                <w:tab w:val="num" w:pos="720"/>
              </w:tabs>
            </w:pPr>
            <w:r w:rsidRPr="00C44F3F">
              <w:t>Updated links in attachment 1 Clinical Practice Guidelines</w:t>
            </w:r>
            <w:r w:rsidR="00687345">
              <w:t xml:space="preserve"> Grid</w:t>
            </w:r>
            <w:r w:rsidR="00CC15DB">
              <w:t>. Converted policy to new template.</w:t>
            </w:r>
            <w:r w:rsidR="00687345">
              <w:t xml:space="preserve"> Added “or clinical policy staff” to criteria regarding who updates guidelines in I.A.4. </w:t>
            </w:r>
          </w:p>
        </w:tc>
        <w:tc>
          <w:tcPr>
            <w:tcW w:w="1170" w:type="dxa"/>
          </w:tcPr>
          <w:p w:rsidR="00C44F3F" w:rsidRDefault="00C44F3F" w:rsidP="00C44F3F">
            <w:pPr>
              <w:jc w:val="center"/>
              <w:cnfStyle w:val="000000100000" w:firstRow="0" w:lastRow="0" w:firstColumn="0" w:lastColumn="0" w:oddVBand="0" w:evenVBand="0" w:oddHBand="1" w:evenHBand="0" w:firstRowFirstColumn="0" w:firstRowLastColumn="0" w:lastRowFirstColumn="0" w:lastRowLastColumn="0"/>
            </w:pPr>
            <w:r>
              <w:t>04/19</w:t>
            </w:r>
          </w:p>
        </w:tc>
        <w:tc>
          <w:tcPr>
            <w:cnfStyle w:val="000010000000" w:firstRow="0" w:lastRow="0" w:firstColumn="0" w:lastColumn="0" w:oddVBand="1" w:evenVBand="0" w:oddHBand="0" w:evenHBand="0" w:firstRowFirstColumn="0" w:firstRowLastColumn="0" w:lastRowFirstColumn="0" w:lastRowLastColumn="0"/>
            <w:tcW w:w="1260" w:type="dxa"/>
          </w:tcPr>
          <w:p w:rsidR="00C44F3F" w:rsidRDefault="00851A7E" w:rsidP="00C44F3F">
            <w:pPr>
              <w:jc w:val="center"/>
            </w:pPr>
            <w:r>
              <w:t>04/19</w:t>
            </w:r>
          </w:p>
        </w:tc>
      </w:tr>
    </w:tbl>
    <w:p w:rsidR="00B777AF" w:rsidRDefault="00B777AF" w:rsidP="00B777AF">
      <w:pPr>
        <w:pStyle w:val="Heading6"/>
        <w:tabs>
          <w:tab w:val="clear" w:pos="0"/>
        </w:tabs>
      </w:pPr>
    </w:p>
    <w:p w:rsidR="00963062" w:rsidRPr="00B777AF" w:rsidRDefault="003F3D44" w:rsidP="00963062">
      <w:pPr>
        <w:pStyle w:val="Heading3"/>
      </w:pPr>
      <w:r>
        <w:t>References</w:t>
      </w:r>
    </w:p>
    <w:p w:rsidR="00963062" w:rsidRDefault="00C46653" w:rsidP="00CC15DB">
      <w:pPr>
        <w:pStyle w:val="ListParagraph"/>
        <w:numPr>
          <w:ilvl w:val="0"/>
          <w:numId w:val="21"/>
        </w:numPr>
        <w:ind w:left="360"/>
      </w:pPr>
      <w:r w:rsidRPr="00C46653">
        <w:t>Centers for Medicare &amp; Medicaid Services (CMS)</w:t>
      </w:r>
      <w:r w:rsidR="00AD2719">
        <w:t xml:space="preserve">. </w:t>
      </w:r>
      <w:r w:rsidRPr="00C46653">
        <w:t xml:space="preserve"> Medicare Managed Care Manual Chapter 5 (Quality Assessment)</w:t>
      </w:r>
      <w:r w:rsidR="00EC766D">
        <w:t xml:space="preserve">. Rev. 117, 8/8/2014. </w:t>
      </w:r>
    </w:p>
    <w:p w:rsidR="00C75BD4" w:rsidRDefault="00C75BD4" w:rsidP="00AF5490"/>
    <w:sectPr w:rsidR="00C75BD4" w:rsidSect="00CB63DD">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C29" w:rsidRDefault="00875C29">
      <w:r>
        <w:separator/>
      </w:r>
    </w:p>
  </w:endnote>
  <w:endnote w:type="continuationSeparator" w:id="0">
    <w:p w:rsidR="00875C29" w:rsidRDefault="0087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5A" w:rsidRPr="00D574CA" w:rsidRDefault="00D574CA" w:rsidP="00D574CA">
    <w:pPr>
      <w:pStyle w:val="Footer"/>
      <w:jc w:val="center"/>
    </w:pPr>
    <w:r>
      <w:t xml:space="preserve">Page </w:t>
    </w:r>
    <w:r>
      <w:rPr>
        <w:b/>
        <w:bCs/>
      </w:rPr>
      <w:fldChar w:fldCharType="begin"/>
    </w:r>
    <w:r>
      <w:rPr>
        <w:b/>
        <w:bCs/>
      </w:rPr>
      <w:instrText xml:space="preserve"> PAGE </w:instrText>
    </w:r>
    <w:r>
      <w:rPr>
        <w:b/>
        <w:bCs/>
      </w:rPr>
      <w:fldChar w:fldCharType="separate"/>
    </w:r>
    <w:r w:rsidR="0068211E">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68211E">
      <w:rPr>
        <w:b/>
        <w:bCs/>
        <w:noProof/>
      </w:rPr>
      <w:t>4</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AAB" w:rsidRDefault="002C6AAB" w:rsidP="002C6AAB">
    <w:pPr>
      <w:pStyle w:val="Footer"/>
      <w:jc w:val="center"/>
    </w:pPr>
    <w:r>
      <w:t xml:space="preserve">Page </w:t>
    </w:r>
    <w:r>
      <w:fldChar w:fldCharType="begin"/>
    </w:r>
    <w:r>
      <w:instrText xml:space="preserve"> PAGE   \* MERGEFORMAT </w:instrText>
    </w:r>
    <w:r>
      <w:fldChar w:fldCharType="separate"/>
    </w:r>
    <w:r w:rsidR="00477239">
      <w:rPr>
        <w:noProof/>
      </w:rPr>
      <w:t>1</w:t>
    </w:r>
    <w:r>
      <w:fldChar w:fldCharType="end"/>
    </w:r>
    <w:r>
      <w:t xml:space="preserve"> of </w:t>
    </w:r>
    <w:r w:rsidR="009D6060">
      <w:rPr>
        <w:noProof/>
      </w:rPr>
      <w:fldChar w:fldCharType="begin"/>
    </w:r>
    <w:r w:rsidR="009D6060">
      <w:rPr>
        <w:noProof/>
      </w:rPr>
      <w:instrText xml:space="preserve"> NUMPAGES   \* MERGEFORMAT </w:instrText>
    </w:r>
    <w:r w:rsidR="009D6060">
      <w:rPr>
        <w:noProof/>
      </w:rPr>
      <w:fldChar w:fldCharType="separate"/>
    </w:r>
    <w:r w:rsidR="00477239">
      <w:rPr>
        <w:noProof/>
      </w:rPr>
      <w:t>4</w:t>
    </w:r>
    <w:r w:rsidR="009D606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C29" w:rsidRDefault="00875C29">
      <w:r>
        <w:separator/>
      </w:r>
    </w:p>
  </w:footnote>
  <w:footnote w:type="continuationSeparator" w:id="0">
    <w:p w:rsidR="00875C29" w:rsidRDefault="00875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4CA" w:rsidRPr="00B777AF" w:rsidRDefault="00D574CA"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00B777AF" w:rsidRPr="00B777AF">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A20F73">
      <w:rPr>
        <w:noProof/>
        <w:color w:val="00548C"/>
      </w:rPr>
      <w:drawing>
        <wp:inline distT="0" distB="0" distL="0" distR="0" wp14:anchorId="52CDA047" wp14:editId="358AA487">
          <wp:extent cx="914400" cy="238125"/>
          <wp:effectExtent l="0" t="0" r="0"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rsidR="00DD025A" w:rsidRPr="00B777AF" w:rsidRDefault="00C46653" w:rsidP="00B777AF">
    <w:pPr>
      <w:rPr>
        <w:color w:val="00548C"/>
      </w:rPr>
    </w:pPr>
    <w:r>
      <w:rPr>
        <w:rFonts w:ascii="Times New Roman Bold" w:hAnsi="Times New Roman Bold"/>
        <w:b/>
        <w:bCs/>
        <w:color w:val="00548C"/>
      </w:rPr>
      <w:t>Preventive Health and Clinical Practice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5E0" w:rsidRDefault="00A20F73" w:rsidP="00B777AF">
    <w:pPr>
      <w:pStyle w:val="Header"/>
      <w:jc w:val="right"/>
    </w:pPr>
    <w:r>
      <w:rPr>
        <w:noProof/>
      </w:rPr>
      <w:drawing>
        <wp:inline distT="0" distB="0" distL="0" distR="0" wp14:anchorId="22D695A1" wp14:editId="1D36F903">
          <wp:extent cx="1371600" cy="352425"/>
          <wp:effectExtent l="0" t="0" r="0" b="9525"/>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E7697"/>
    <w:multiLevelType w:val="hybridMultilevel"/>
    <w:tmpl w:val="96D8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942E9"/>
    <w:multiLevelType w:val="hybridMultilevel"/>
    <w:tmpl w:val="F04676DC"/>
    <w:lvl w:ilvl="0" w:tplc="D4C084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E0E99"/>
    <w:multiLevelType w:val="hybridMultilevel"/>
    <w:tmpl w:val="5FFA82B8"/>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8C1034"/>
    <w:multiLevelType w:val="multilevel"/>
    <w:tmpl w:val="7C624ADA"/>
    <w:lvl w:ilvl="0">
      <w:start w:val="1"/>
      <w:numFmt w:val="decimal"/>
      <w:lvlText w:val="%1)"/>
      <w:lvlJc w:val="left"/>
      <w:pPr>
        <w:tabs>
          <w:tab w:val="num" w:pos="360"/>
        </w:tabs>
        <w:ind w:left="360" w:hanging="360"/>
      </w:pPr>
      <w:rPr>
        <w:b/>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D5616BC"/>
    <w:multiLevelType w:val="multilevel"/>
    <w:tmpl w:val="7C624ADA"/>
    <w:lvl w:ilvl="0">
      <w:start w:val="1"/>
      <w:numFmt w:val="decimal"/>
      <w:lvlText w:val="%1)"/>
      <w:lvlJc w:val="left"/>
      <w:pPr>
        <w:tabs>
          <w:tab w:val="num" w:pos="360"/>
        </w:tabs>
        <w:ind w:left="360" w:hanging="360"/>
      </w:pPr>
      <w:rPr>
        <w:b/>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7A6984"/>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E0F3C"/>
    <w:multiLevelType w:val="hybridMultilevel"/>
    <w:tmpl w:val="E5129CE8"/>
    <w:lvl w:ilvl="0" w:tplc="F53C8E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83585"/>
    <w:multiLevelType w:val="multilevel"/>
    <w:tmpl w:val="0409001D"/>
    <w:styleLink w:val="1ai"/>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5E500B2"/>
    <w:multiLevelType w:val="hybridMultilevel"/>
    <w:tmpl w:val="CB5AF886"/>
    <w:lvl w:ilvl="0" w:tplc="6CC0606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01436"/>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75F0A"/>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A2015A"/>
    <w:multiLevelType w:val="multilevel"/>
    <w:tmpl w:val="162ABEAC"/>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1497053"/>
    <w:multiLevelType w:val="hybridMultilevel"/>
    <w:tmpl w:val="BE262E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6063C"/>
    <w:multiLevelType w:val="hybridMultilevel"/>
    <w:tmpl w:val="04382478"/>
    <w:lvl w:ilvl="0" w:tplc="5C220D9E">
      <w:start w:val="1"/>
      <w:numFmt w:val="decimal"/>
      <w:lvlText w:val="%1."/>
      <w:lvlJc w:val="left"/>
      <w:pPr>
        <w:ind w:left="720" w:hanging="360"/>
      </w:pPr>
      <w:rPr>
        <w:rFonts w:hint="default"/>
        <w:b w:val="0"/>
      </w:rPr>
    </w:lvl>
    <w:lvl w:ilvl="1" w:tplc="6CC0606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388F0AEB"/>
    <w:multiLevelType w:val="multilevel"/>
    <w:tmpl w:val="08F620A4"/>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EBE345C"/>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365D0"/>
    <w:multiLevelType w:val="hybridMultilevel"/>
    <w:tmpl w:val="D55A7940"/>
    <w:lvl w:ilvl="0" w:tplc="F85C9D9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0746AA"/>
    <w:multiLevelType w:val="hybridMultilevel"/>
    <w:tmpl w:val="7B9A472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69A0F8D"/>
    <w:multiLevelType w:val="multilevel"/>
    <w:tmpl w:val="7C624ADA"/>
    <w:lvl w:ilvl="0">
      <w:start w:val="1"/>
      <w:numFmt w:val="decimal"/>
      <w:lvlText w:val="%1)"/>
      <w:lvlJc w:val="left"/>
      <w:pPr>
        <w:tabs>
          <w:tab w:val="num" w:pos="360"/>
        </w:tabs>
        <w:ind w:left="360" w:hanging="360"/>
      </w:pPr>
      <w:rPr>
        <w:b/>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A6060A7"/>
    <w:multiLevelType w:val="hybridMultilevel"/>
    <w:tmpl w:val="84C866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8B1A41"/>
    <w:multiLevelType w:val="hybridMultilevel"/>
    <w:tmpl w:val="C08E9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B6821"/>
    <w:multiLevelType w:val="hybridMultilevel"/>
    <w:tmpl w:val="AA88B230"/>
    <w:lvl w:ilvl="0" w:tplc="81BA57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E35ABF"/>
    <w:multiLevelType w:val="multilevel"/>
    <w:tmpl w:val="33C8E716"/>
    <w:lvl w:ilvl="0">
      <w:start w:val="1"/>
      <w:numFmt w:val="decimal"/>
      <w:lvlText w:val="%1)"/>
      <w:lvlJc w:val="left"/>
      <w:pPr>
        <w:tabs>
          <w:tab w:val="num" w:pos="360"/>
        </w:tabs>
        <w:ind w:left="360" w:hanging="360"/>
      </w:pPr>
      <w:rPr>
        <w:b/>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76E3012"/>
    <w:multiLevelType w:val="multilevel"/>
    <w:tmpl w:val="0409001D"/>
    <w:numStyleLink w:val="1ai"/>
  </w:abstractNum>
  <w:abstractNum w:abstractNumId="29"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600535"/>
    <w:multiLevelType w:val="hybridMultilevel"/>
    <w:tmpl w:val="0A5819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CD55575"/>
    <w:multiLevelType w:val="multilevel"/>
    <w:tmpl w:val="7C624ADA"/>
    <w:lvl w:ilvl="0">
      <w:start w:val="1"/>
      <w:numFmt w:val="decimal"/>
      <w:lvlText w:val="%1)"/>
      <w:lvlJc w:val="left"/>
      <w:pPr>
        <w:tabs>
          <w:tab w:val="num" w:pos="360"/>
        </w:tabs>
        <w:ind w:left="360" w:hanging="360"/>
      </w:pPr>
      <w:rPr>
        <w:b/>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D1E3D0A"/>
    <w:multiLevelType w:val="hybridMultilevel"/>
    <w:tmpl w:val="6CF4423A"/>
    <w:lvl w:ilvl="0" w:tplc="6BAC0802">
      <w:start w:val="1"/>
      <w:numFmt w:val="upperRoman"/>
      <w:lvlText w:val="%1."/>
      <w:lvlJc w:val="left"/>
      <w:pPr>
        <w:ind w:left="720" w:hanging="360"/>
      </w:pPr>
      <w:rPr>
        <w:rFonts w:hint="default"/>
        <w:b/>
        <w:i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58AADE0C">
      <w:start w:val="1"/>
      <w:numFmt w:val="lowerRoman"/>
      <w:lvlText w:val="%5."/>
      <w:lvlJc w:val="left"/>
      <w:pPr>
        <w:ind w:left="3600" w:hanging="360"/>
      </w:pPr>
      <w:rPr>
        <w:rFonts w:hint="default"/>
        <w:sz w:val="20"/>
      </w:rPr>
    </w:lvl>
    <w:lvl w:ilvl="5" w:tplc="04090017">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0"/>
  </w:num>
  <w:num w:numId="3">
    <w:abstractNumId w:val="12"/>
  </w:num>
  <w:num w:numId="4">
    <w:abstractNumId w:val="16"/>
  </w:num>
  <w:num w:numId="5">
    <w:abstractNumId w:val="18"/>
  </w:num>
  <w:num w:numId="6">
    <w:abstractNumId w:val="26"/>
  </w:num>
  <w:num w:numId="7">
    <w:abstractNumId w:val="29"/>
  </w:num>
  <w:num w:numId="8">
    <w:abstractNumId w:val="1"/>
  </w:num>
  <w:num w:numId="9">
    <w:abstractNumId w:val="20"/>
  </w:num>
  <w:num w:numId="10">
    <w:abstractNumId w:val="10"/>
  </w:num>
  <w:num w:numId="11">
    <w:abstractNumId w:val="32"/>
  </w:num>
  <w:num w:numId="12">
    <w:abstractNumId w:val="15"/>
  </w:num>
  <w:num w:numId="13">
    <w:abstractNumId w:val="14"/>
  </w:num>
  <w:num w:numId="14">
    <w:abstractNumId w:val="6"/>
  </w:num>
  <w:num w:numId="15">
    <w:abstractNumId w:val="11"/>
  </w:num>
  <w:num w:numId="16">
    <w:abstractNumId w:val="30"/>
  </w:num>
  <w:num w:numId="17">
    <w:abstractNumId w:val="21"/>
  </w:num>
  <w:num w:numId="18">
    <w:abstractNumId w:val="19"/>
  </w:num>
  <w:num w:numId="19">
    <w:abstractNumId w:val="9"/>
  </w:num>
  <w:num w:numId="20">
    <w:abstractNumId w:val="3"/>
  </w:num>
  <w:num w:numId="21">
    <w:abstractNumId w:val="24"/>
  </w:num>
  <w:num w:numId="22">
    <w:abstractNumId w:val="28"/>
    <w:lvlOverride w:ilvl="0">
      <w:lvl w:ilvl="0">
        <w:start w:val="1"/>
        <w:numFmt w:val="upperLetter"/>
        <w:lvlText w:val="%1."/>
        <w:lvlJc w:val="left"/>
        <w:pPr>
          <w:ind w:left="360" w:hanging="360"/>
        </w:pPr>
        <w:rPr>
          <w:b/>
          <w:strike w:val="0"/>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3">
    <w:abstractNumId w:val="8"/>
  </w:num>
  <w:num w:numId="24">
    <w:abstractNumId w:val="25"/>
  </w:num>
  <w:num w:numId="25">
    <w:abstractNumId w:val="7"/>
  </w:num>
  <w:num w:numId="26">
    <w:abstractNumId w:val="22"/>
  </w:num>
  <w:num w:numId="27">
    <w:abstractNumId w:val="31"/>
  </w:num>
  <w:num w:numId="28">
    <w:abstractNumId w:val="13"/>
  </w:num>
  <w:num w:numId="29">
    <w:abstractNumId w:val="4"/>
  </w:num>
  <w:num w:numId="30">
    <w:abstractNumId w:val="23"/>
  </w:num>
  <w:num w:numId="31">
    <w:abstractNumId w:val="5"/>
  </w:num>
  <w:num w:numId="32">
    <w:abstractNumId w:val="17"/>
  </w:num>
  <w:num w:numId="33">
    <w:abstractNumId w:val="27"/>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15711"/>
    <w:rsid w:val="00032D3F"/>
    <w:rsid w:val="000465DE"/>
    <w:rsid w:val="0004733E"/>
    <w:rsid w:val="00060509"/>
    <w:rsid w:val="00083740"/>
    <w:rsid w:val="00094136"/>
    <w:rsid w:val="000F10C2"/>
    <w:rsid w:val="001148A8"/>
    <w:rsid w:val="0014316D"/>
    <w:rsid w:val="00146C6E"/>
    <w:rsid w:val="00170B14"/>
    <w:rsid w:val="001818D7"/>
    <w:rsid w:val="00185104"/>
    <w:rsid w:val="001962BE"/>
    <w:rsid w:val="00196689"/>
    <w:rsid w:val="00196935"/>
    <w:rsid w:val="0019746F"/>
    <w:rsid w:val="001D0D34"/>
    <w:rsid w:val="001D70D4"/>
    <w:rsid w:val="001E7D12"/>
    <w:rsid w:val="0020675F"/>
    <w:rsid w:val="00220736"/>
    <w:rsid w:val="00230FE4"/>
    <w:rsid w:val="00233651"/>
    <w:rsid w:val="00254020"/>
    <w:rsid w:val="0025452A"/>
    <w:rsid w:val="00285997"/>
    <w:rsid w:val="002A39EE"/>
    <w:rsid w:val="002B0582"/>
    <w:rsid w:val="002C6AAB"/>
    <w:rsid w:val="002D019A"/>
    <w:rsid w:val="002E48E7"/>
    <w:rsid w:val="002E5306"/>
    <w:rsid w:val="003140D6"/>
    <w:rsid w:val="00336E37"/>
    <w:rsid w:val="00350F22"/>
    <w:rsid w:val="003840CC"/>
    <w:rsid w:val="003C1ADD"/>
    <w:rsid w:val="003D7BE7"/>
    <w:rsid w:val="003F3D44"/>
    <w:rsid w:val="00472C6C"/>
    <w:rsid w:val="00477239"/>
    <w:rsid w:val="00480C09"/>
    <w:rsid w:val="00493710"/>
    <w:rsid w:val="00496BCF"/>
    <w:rsid w:val="00497AED"/>
    <w:rsid w:val="004C2DD5"/>
    <w:rsid w:val="004C7108"/>
    <w:rsid w:val="004E0B99"/>
    <w:rsid w:val="004F6394"/>
    <w:rsid w:val="00505830"/>
    <w:rsid w:val="005103B8"/>
    <w:rsid w:val="005423D4"/>
    <w:rsid w:val="005537B0"/>
    <w:rsid w:val="005776FD"/>
    <w:rsid w:val="00583376"/>
    <w:rsid w:val="005C17DF"/>
    <w:rsid w:val="005C3607"/>
    <w:rsid w:val="005D009F"/>
    <w:rsid w:val="005D5146"/>
    <w:rsid w:val="005D7B81"/>
    <w:rsid w:val="005E411E"/>
    <w:rsid w:val="005F051C"/>
    <w:rsid w:val="006474BB"/>
    <w:rsid w:val="006664E9"/>
    <w:rsid w:val="0068211E"/>
    <w:rsid w:val="00687345"/>
    <w:rsid w:val="006C74DF"/>
    <w:rsid w:val="006F4D70"/>
    <w:rsid w:val="007163E2"/>
    <w:rsid w:val="00744250"/>
    <w:rsid w:val="00772335"/>
    <w:rsid w:val="007764CE"/>
    <w:rsid w:val="007A0BCC"/>
    <w:rsid w:val="007B07AE"/>
    <w:rsid w:val="007B50D0"/>
    <w:rsid w:val="007D4801"/>
    <w:rsid w:val="007E0EAE"/>
    <w:rsid w:val="007F1F19"/>
    <w:rsid w:val="00811825"/>
    <w:rsid w:val="00851A7E"/>
    <w:rsid w:val="00857C10"/>
    <w:rsid w:val="00875924"/>
    <w:rsid w:val="00875C29"/>
    <w:rsid w:val="00877EC7"/>
    <w:rsid w:val="00896E94"/>
    <w:rsid w:val="008B0705"/>
    <w:rsid w:val="008C6B3A"/>
    <w:rsid w:val="008C71B0"/>
    <w:rsid w:val="00902C9B"/>
    <w:rsid w:val="009135E0"/>
    <w:rsid w:val="00915CA4"/>
    <w:rsid w:val="00921837"/>
    <w:rsid w:val="00950820"/>
    <w:rsid w:val="00961071"/>
    <w:rsid w:val="00963062"/>
    <w:rsid w:val="009735FA"/>
    <w:rsid w:val="00977ECA"/>
    <w:rsid w:val="00982180"/>
    <w:rsid w:val="009928B2"/>
    <w:rsid w:val="009C61B2"/>
    <w:rsid w:val="009D5928"/>
    <w:rsid w:val="009D6060"/>
    <w:rsid w:val="009E6F29"/>
    <w:rsid w:val="00A20F73"/>
    <w:rsid w:val="00A40CE1"/>
    <w:rsid w:val="00A41969"/>
    <w:rsid w:val="00A60413"/>
    <w:rsid w:val="00A83658"/>
    <w:rsid w:val="00A85489"/>
    <w:rsid w:val="00A87B1F"/>
    <w:rsid w:val="00AA336E"/>
    <w:rsid w:val="00AA428E"/>
    <w:rsid w:val="00AD1AA6"/>
    <w:rsid w:val="00AD2719"/>
    <w:rsid w:val="00AF1F2A"/>
    <w:rsid w:val="00AF2D94"/>
    <w:rsid w:val="00AF30EF"/>
    <w:rsid w:val="00AF5490"/>
    <w:rsid w:val="00B4633B"/>
    <w:rsid w:val="00B777AF"/>
    <w:rsid w:val="00B8063A"/>
    <w:rsid w:val="00B81789"/>
    <w:rsid w:val="00B92DF1"/>
    <w:rsid w:val="00BA7520"/>
    <w:rsid w:val="00BF4150"/>
    <w:rsid w:val="00C01AA6"/>
    <w:rsid w:val="00C06257"/>
    <w:rsid w:val="00C079B0"/>
    <w:rsid w:val="00C14250"/>
    <w:rsid w:val="00C2297C"/>
    <w:rsid w:val="00C44F3F"/>
    <w:rsid w:val="00C46653"/>
    <w:rsid w:val="00C64BB4"/>
    <w:rsid w:val="00C73CF5"/>
    <w:rsid w:val="00C75BD4"/>
    <w:rsid w:val="00C96847"/>
    <w:rsid w:val="00CA53B9"/>
    <w:rsid w:val="00CA5C08"/>
    <w:rsid w:val="00CB63DD"/>
    <w:rsid w:val="00CC15DB"/>
    <w:rsid w:val="00CF2624"/>
    <w:rsid w:val="00D36448"/>
    <w:rsid w:val="00D574CA"/>
    <w:rsid w:val="00D71BC4"/>
    <w:rsid w:val="00DB1DE9"/>
    <w:rsid w:val="00DB7073"/>
    <w:rsid w:val="00DD025A"/>
    <w:rsid w:val="00DD6ADB"/>
    <w:rsid w:val="00DD7D7A"/>
    <w:rsid w:val="00DE18E2"/>
    <w:rsid w:val="00E919B4"/>
    <w:rsid w:val="00E97C17"/>
    <w:rsid w:val="00EA3809"/>
    <w:rsid w:val="00EC766D"/>
    <w:rsid w:val="00ED0A0D"/>
    <w:rsid w:val="00F03DC0"/>
    <w:rsid w:val="00F11482"/>
    <w:rsid w:val="00F2705D"/>
    <w:rsid w:val="00F422E1"/>
    <w:rsid w:val="00F67BBD"/>
    <w:rsid w:val="00F71F8E"/>
    <w:rsid w:val="00F74762"/>
    <w:rsid w:val="00F95133"/>
    <w:rsid w:val="00FB0592"/>
    <w:rsid w:val="00FB139B"/>
    <w:rsid w:val="00FE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BC2FC9E-B5D5-457D-9125-128610BF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F3D44"/>
    <w:rPr>
      <w:sz w:val="16"/>
      <w:szCs w:val="16"/>
    </w:rPr>
  </w:style>
  <w:style w:type="paragraph" w:styleId="CommentText">
    <w:name w:val="annotation text"/>
    <w:basedOn w:val="Normal"/>
    <w:link w:val="CommentTextChar"/>
    <w:rsid w:val="003F3D44"/>
    <w:rPr>
      <w:sz w:val="20"/>
      <w:szCs w:val="20"/>
    </w:rPr>
  </w:style>
  <w:style w:type="character" w:customStyle="1" w:styleId="CommentTextChar">
    <w:name w:val="Comment Text Char"/>
    <w:basedOn w:val="DefaultParagraphFont"/>
    <w:link w:val="CommentText"/>
    <w:rsid w:val="003F3D44"/>
  </w:style>
  <w:style w:type="paragraph" w:styleId="CommentSubject">
    <w:name w:val="annotation subject"/>
    <w:basedOn w:val="CommentText"/>
    <w:next w:val="CommentText"/>
    <w:link w:val="CommentSubjectChar"/>
    <w:rsid w:val="003F3D44"/>
    <w:rPr>
      <w:b/>
      <w:bCs/>
    </w:rPr>
  </w:style>
  <w:style w:type="character" w:customStyle="1" w:styleId="CommentSubjectChar">
    <w:name w:val="Comment Subject Char"/>
    <w:basedOn w:val="CommentTextChar"/>
    <w:link w:val="CommentSubject"/>
    <w:rsid w:val="003F3D44"/>
    <w:rPr>
      <w:b/>
      <w:bCs/>
    </w:rPr>
  </w:style>
  <w:style w:type="paragraph" w:styleId="ListParagraph">
    <w:name w:val="List Paragraph"/>
    <w:basedOn w:val="Normal"/>
    <w:uiPriority w:val="34"/>
    <w:qFormat/>
    <w:rsid w:val="007163E2"/>
    <w:pPr>
      <w:ind w:left="720"/>
      <w:contextualSpacing/>
    </w:pPr>
  </w:style>
  <w:style w:type="numbering" w:styleId="1ai">
    <w:name w:val="Outline List 1"/>
    <w:basedOn w:val="NoList"/>
    <w:uiPriority w:val="99"/>
    <w:rsid w:val="00C46653"/>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Word_Document.doc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Word_Document2.docx"/><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Word_Document1.docx"/><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DA903-36F0-4EBA-9F91-2CDD3CD53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Sarah Colbert-Fluchel</cp:lastModifiedBy>
  <cp:revision>3</cp:revision>
  <cp:lastPrinted>2015-06-25T20:16:00Z</cp:lastPrinted>
  <dcterms:created xsi:type="dcterms:W3CDTF">2019-04-24T16:53:00Z</dcterms:created>
  <dcterms:modified xsi:type="dcterms:W3CDTF">2019-04-25T16:46:00Z</dcterms:modified>
</cp:coreProperties>
</file>