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03D" w:rsidRPr="008F03BB" w:rsidRDefault="00E5703D" w:rsidP="00D574CA">
      <w:pPr>
        <w:pStyle w:val="PolicyMainHead"/>
        <w:tabs>
          <w:tab w:val="left" w:pos="360"/>
        </w:tabs>
        <w:spacing w:after="0" w:line="240" w:lineRule="auto"/>
        <w:rPr>
          <w:rFonts w:ascii="Times New Roman" w:hAnsi="Times New Roman"/>
          <w:color w:val="00548C"/>
          <w:sz w:val="36"/>
        </w:rPr>
        <w:sectPr w:rsidR="00E5703D" w:rsidRPr="008F03BB" w:rsidSect="00B777AF">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bookmarkStart w:id="0" w:name="_GoBack"/>
      <w:bookmarkEnd w:id="0"/>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Policy: Discography</w:t>
      </w:r>
    </w:p>
    <w:p w:rsidR="009C7AC6" w:rsidRPr="003D7BE7" w:rsidRDefault="00E5703D" w:rsidP="006B0026">
      <w:pPr>
        <w:pStyle w:val="PolicyMainHead"/>
        <w:tabs>
          <w:tab w:val="left" w:pos="360"/>
        </w:tabs>
        <w:spacing w:after="0" w:line="240" w:lineRule="auto"/>
        <w:rPr>
          <w:rFonts w:ascii="Times New Roman" w:hAnsi="Times New Roman"/>
          <w:color w:val="00548C"/>
          <w:sz w:val="24"/>
          <w:szCs w:val="24"/>
        </w:rPr>
        <w:sectPr w:rsidR="009C7AC6"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Pr>
          <w:rFonts w:ascii="Times New Roman" w:hAnsi="Times New Roman"/>
          <w:color w:val="00548C"/>
          <w:sz w:val="24"/>
          <w:szCs w:val="24"/>
        </w:rPr>
        <w:t>MP.115</w:t>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009C7AC6">
        <w:rPr>
          <w:rFonts w:ascii="Times New Roman" w:hAnsi="Times New Roman"/>
          <w:color w:val="00548C"/>
          <w:sz w:val="24"/>
          <w:szCs w:val="24"/>
        </w:rPr>
        <w:t xml:space="preserve">     </w:t>
      </w:r>
      <w:hyperlink w:anchor="Coding_Implications" w:history="1">
        <w:r w:rsidR="009C7AC6" w:rsidRPr="00875924">
          <w:rPr>
            <w:rStyle w:val="Hyperlink"/>
            <w:rFonts w:ascii="Times New Roman" w:hAnsi="Times New Roman"/>
            <w:sz w:val="24"/>
            <w:szCs w:val="24"/>
          </w:rPr>
          <w:t>Coding Implications</w:t>
        </w:r>
      </w:hyperlink>
      <w:r w:rsidR="009C7AC6" w:rsidRPr="003D7BE7">
        <w:rPr>
          <w:rFonts w:ascii="Times New Roman" w:hAnsi="Times New Roman"/>
          <w:color w:val="00548C"/>
          <w:sz w:val="24"/>
          <w:szCs w:val="24"/>
        </w:rPr>
        <w:t xml:space="preserve"> </w:t>
      </w:r>
    </w:p>
    <w:p w:rsidR="009C7AC6" w:rsidRDefault="009C7AC6" w:rsidP="009C7AC6">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2F6841">
        <w:rPr>
          <w:rFonts w:ascii="Times New Roman" w:hAnsi="Times New Roman"/>
          <w:color w:val="00548C"/>
          <w:sz w:val="24"/>
          <w:szCs w:val="24"/>
        </w:rPr>
        <w:t>0</w:t>
      </w:r>
      <w:r w:rsidR="00371C91">
        <w:rPr>
          <w:rFonts w:ascii="Times New Roman" w:hAnsi="Times New Roman"/>
          <w:color w:val="00548C"/>
          <w:sz w:val="24"/>
          <w:szCs w:val="24"/>
        </w:rPr>
        <w:t>6</w:t>
      </w:r>
      <w:r w:rsidR="002F6841">
        <w:rPr>
          <w:rFonts w:ascii="Times New Roman" w:hAnsi="Times New Roman"/>
          <w:color w:val="00548C"/>
          <w:sz w:val="24"/>
          <w:szCs w:val="24"/>
        </w:rPr>
        <w:t>/19</w:t>
      </w:r>
    </w:p>
    <w:p w:rsidR="009C7AC6" w:rsidRDefault="00151A84" w:rsidP="009C7AC6">
      <w:pPr>
        <w:pStyle w:val="PolicyMainHead"/>
        <w:tabs>
          <w:tab w:val="left" w:pos="360"/>
        </w:tabs>
        <w:spacing w:after="0" w:line="240" w:lineRule="auto"/>
        <w:jc w:val="right"/>
        <w:rPr>
          <w:rStyle w:val="Strong"/>
          <w:rFonts w:ascii="Times New Roman" w:hAnsi="Times New Roman"/>
          <w:b w:val="0"/>
          <w:u w:val="single"/>
        </w:rPr>
        <w:sectPr w:rsidR="009C7AC6" w:rsidSect="00875924">
          <w:type w:val="continuous"/>
          <w:pgSz w:w="12240" w:h="15840" w:code="1"/>
          <w:pgMar w:top="1440" w:right="1170" w:bottom="1440" w:left="1440" w:header="576" w:footer="288" w:gutter="0"/>
          <w:cols w:num="2" w:space="720"/>
          <w:titlePg/>
          <w:docGrid w:linePitch="360"/>
        </w:sectPr>
      </w:pPr>
      <w:hyperlink w:anchor="Revision_Log" w:history="1">
        <w:r w:rsidR="009C7AC6" w:rsidRPr="003D7BE7">
          <w:rPr>
            <w:rStyle w:val="Hyperlink"/>
            <w:rFonts w:ascii="Times New Roman" w:hAnsi="Times New Roman"/>
            <w:sz w:val="24"/>
            <w:szCs w:val="24"/>
          </w:rPr>
          <w:t>Revision Log</w:t>
        </w:r>
      </w:hyperlink>
    </w:p>
    <w:p w:rsidR="00E5703D" w:rsidRPr="003D7BE7" w:rsidRDefault="00E5703D" w:rsidP="0023430C">
      <w:pPr>
        <w:pStyle w:val="PolicyMainHead"/>
        <w:spacing w:after="0" w:line="240" w:lineRule="auto"/>
        <w:rPr>
          <w:rFonts w:ascii="Times New Roman" w:hAnsi="Times New Roman"/>
          <w:color w:val="00548C"/>
          <w:sz w:val="24"/>
          <w:szCs w:val="24"/>
        </w:rPr>
        <w:sectPr w:rsidR="00E5703D" w:rsidRPr="003D7BE7" w:rsidSect="00480C09">
          <w:type w:val="continuous"/>
          <w:pgSz w:w="12240" w:h="15840" w:code="1"/>
          <w:pgMar w:top="1440" w:right="1080" w:bottom="1440" w:left="1080" w:header="576" w:footer="288" w:gutter="0"/>
          <w:cols w:num="2" w:space="720"/>
          <w:titlePg/>
          <w:docGrid w:linePitch="360"/>
        </w:sectPr>
      </w:pPr>
    </w:p>
    <w:p w:rsidR="00E5703D" w:rsidRPr="005D7B81" w:rsidRDefault="00E5703D" w:rsidP="006B0026">
      <w:pPr>
        <w:pStyle w:val="NormalWeb"/>
        <w:tabs>
          <w:tab w:val="left" w:pos="975"/>
        </w:tabs>
        <w:spacing w:before="0" w:beforeAutospacing="0" w:after="0" w:afterAutospacing="0"/>
        <w:rPr>
          <w:rStyle w:val="Strong"/>
          <w:rFonts w:ascii="Times New Roman" w:hAnsi="Times New Roman"/>
          <w:b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rsidR="00E5703D" w:rsidRDefault="00E5703D" w:rsidP="00964117">
      <w:pPr>
        <w:pStyle w:val="NormalWeb"/>
        <w:spacing w:before="0" w:beforeAutospacing="0" w:after="0" w:afterAutospacing="0"/>
        <w:rPr>
          <w:rStyle w:val="Strong"/>
          <w:rFonts w:ascii="Times New Roman" w:hAnsi="Times New Roman"/>
          <w:b w:val="0"/>
          <w:u w:val="single"/>
        </w:rPr>
      </w:pPr>
    </w:p>
    <w:p w:rsidR="00E5703D" w:rsidRPr="002E7658" w:rsidRDefault="00E5703D" w:rsidP="002E7658">
      <w:pPr>
        <w:pStyle w:val="Heading1"/>
        <w:rPr>
          <w:sz w:val="24"/>
        </w:rPr>
      </w:pPr>
      <w:r w:rsidRPr="002E7658">
        <w:rPr>
          <w:sz w:val="24"/>
        </w:rPr>
        <w:t xml:space="preserve">Description </w:t>
      </w:r>
    </w:p>
    <w:p w:rsidR="00E5703D" w:rsidRDefault="00E5703D" w:rsidP="00196935">
      <w:r>
        <w:t xml:space="preserve">In lumbar discography, contrast medium is injected into a lumbar intervertebral disc that is thought to be the cause of low back pain. </w:t>
      </w:r>
      <w:r w:rsidR="00117B74">
        <w:t xml:space="preserve"> </w:t>
      </w:r>
      <w:r>
        <w:t>This procedure is used to reproduce a patient’s pain and visualize the disc morphology.</w:t>
      </w:r>
      <w:r w:rsidR="00117B74">
        <w:t xml:space="preserve"> </w:t>
      </w:r>
      <w:r>
        <w:t xml:space="preserve"> Injection pressures are also taken into account when considering </w:t>
      </w:r>
      <w:r w:rsidR="00E55AF6">
        <w:t xml:space="preserve">whether </w:t>
      </w:r>
      <w:r>
        <w:t xml:space="preserve">the test suggests symptomatic disc degeneration. </w:t>
      </w:r>
    </w:p>
    <w:p w:rsidR="00E5703D" w:rsidRPr="00B777AF" w:rsidRDefault="00E5703D" w:rsidP="00196935"/>
    <w:p w:rsidR="00E5703D" w:rsidRPr="00B777AF" w:rsidRDefault="00E5703D">
      <w:pPr>
        <w:pStyle w:val="Heading2"/>
        <w:rPr>
          <w:u w:val="none"/>
        </w:rPr>
      </w:pPr>
      <w:r w:rsidRPr="00B777AF">
        <w:rPr>
          <w:u w:val="none"/>
        </w:rPr>
        <w:t>Policy/Criteria</w:t>
      </w:r>
    </w:p>
    <w:p w:rsidR="004F559A" w:rsidRDefault="00E5703D" w:rsidP="006B0026">
      <w:pPr>
        <w:numPr>
          <w:ilvl w:val="0"/>
          <w:numId w:val="11"/>
        </w:numPr>
        <w:ind w:left="360"/>
      </w:pPr>
      <w:r>
        <w:rPr>
          <w:bCs/>
          <w:color w:val="000000"/>
        </w:rPr>
        <w:t>It is the policy of health plans affiliated with Centene Corporation</w:t>
      </w:r>
      <w:r w:rsidRPr="00C75BD4">
        <w:rPr>
          <w:bCs/>
          <w:color w:val="000000"/>
          <w:vertAlign w:val="superscript"/>
        </w:rPr>
        <w:t>®</w:t>
      </w:r>
      <w:r>
        <w:rPr>
          <w:bCs/>
          <w:color w:val="000000"/>
        </w:rPr>
        <w:t xml:space="preserve"> </w:t>
      </w:r>
      <w:r>
        <w:t xml:space="preserve">that </w:t>
      </w:r>
      <w:r w:rsidR="00361917">
        <w:t xml:space="preserve">lumbar </w:t>
      </w:r>
      <w:r>
        <w:t xml:space="preserve">discography is </w:t>
      </w:r>
      <w:r w:rsidR="004F559A" w:rsidRPr="006B0026">
        <w:rPr>
          <w:b/>
        </w:rPr>
        <w:t xml:space="preserve">not </w:t>
      </w:r>
      <w:r w:rsidRPr="005D6347">
        <w:rPr>
          <w:b/>
        </w:rPr>
        <w:t>medically necessary</w:t>
      </w:r>
      <w:r w:rsidR="004F559A">
        <w:t>.</w:t>
      </w:r>
    </w:p>
    <w:p w:rsidR="00E5703D" w:rsidRDefault="00E5703D" w:rsidP="006B0026"/>
    <w:p w:rsidR="00E5703D" w:rsidRPr="00881EBE" w:rsidRDefault="00E5703D" w:rsidP="00881EBE">
      <w:pPr>
        <w:numPr>
          <w:ilvl w:val="0"/>
          <w:numId w:val="11"/>
        </w:numPr>
        <w:ind w:left="360"/>
        <w:rPr>
          <w:bCs/>
        </w:rPr>
      </w:pPr>
      <w:r>
        <w:rPr>
          <w:bCs/>
          <w:color w:val="000000"/>
        </w:rPr>
        <w:t xml:space="preserve">It is the policy of health plans affiliated with Centene Corporation </w:t>
      </w:r>
      <w:r>
        <w:t xml:space="preserve">that cervical and thoracic discography is </w:t>
      </w:r>
      <w:r w:rsidRPr="00881EBE">
        <w:rPr>
          <w:bCs/>
        </w:rPr>
        <w:t>considered</w:t>
      </w:r>
      <w:r w:rsidRPr="00881EBE">
        <w:rPr>
          <w:b/>
          <w:bCs/>
        </w:rPr>
        <w:t xml:space="preserve"> </w:t>
      </w:r>
      <w:r w:rsidRPr="00881EBE">
        <w:rPr>
          <w:b/>
        </w:rPr>
        <w:t>investigational</w:t>
      </w:r>
      <w:r>
        <w:t xml:space="preserve"> because effectiveness has not been established.</w:t>
      </w:r>
    </w:p>
    <w:p w:rsidR="00E5703D" w:rsidRDefault="00E5703D" w:rsidP="003840CC">
      <w:pPr>
        <w:rPr>
          <w:bCs/>
          <w:color w:val="000000"/>
        </w:rPr>
      </w:pPr>
    </w:p>
    <w:p w:rsidR="00E5703D" w:rsidRDefault="00E5703D" w:rsidP="00FB0592">
      <w:pPr>
        <w:pStyle w:val="Heading2"/>
        <w:rPr>
          <w:u w:val="none"/>
        </w:rPr>
      </w:pPr>
      <w:r w:rsidRPr="00B777AF">
        <w:rPr>
          <w:u w:val="none"/>
        </w:rPr>
        <w:t>Background</w:t>
      </w:r>
    </w:p>
    <w:p w:rsidR="00E5703D" w:rsidRDefault="00E5703D" w:rsidP="00F113F5">
      <w:pPr>
        <w:rPr>
          <w:i/>
        </w:rPr>
      </w:pPr>
      <w:r>
        <w:rPr>
          <w:i/>
        </w:rPr>
        <w:t>Lumbar Discography</w:t>
      </w:r>
    </w:p>
    <w:p w:rsidR="00E5703D" w:rsidRDefault="00E5703D" w:rsidP="00F113F5">
      <w:r>
        <w:t xml:space="preserve">Lumbar Discography is a controversial diagnostic test for chronic </w:t>
      </w:r>
      <w:proofErr w:type="spellStart"/>
      <w:r>
        <w:t>discogenic</w:t>
      </w:r>
      <w:proofErr w:type="spellEnd"/>
      <w:r>
        <w:t xml:space="preserve"> low back pain. Proponents argue that recreating the patient’s pain makes the test more sensitive and specific than imaging such as radiographs, </w:t>
      </w:r>
      <w:proofErr w:type="spellStart"/>
      <w:r>
        <w:t>myelography</w:t>
      </w:r>
      <w:proofErr w:type="spellEnd"/>
      <w:r>
        <w:t>, and MRI, which identify both symptomatic and asymptomatic abnormalities.</w:t>
      </w:r>
      <w:r>
        <w:rPr>
          <w:sz w:val="28"/>
          <w:vertAlign w:val="superscript"/>
        </w:rPr>
        <w:t>1</w:t>
      </w:r>
      <w:r>
        <w:t xml:space="preserve"> </w:t>
      </w:r>
      <w:r w:rsidR="00117B74">
        <w:t xml:space="preserve"> </w:t>
      </w:r>
      <w:r>
        <w:t xml:space="preserve">However, critics argue that discography lacks reliability, given the absence of a clearly defined gold-standard reference test and the ability </w:t>
      </w:r>
      <w:r w:rsidR="005A7503">
        <w:t xml:space="preserve">of the test </w:t>
      </w:r>
      <w:r>
        <w:t>to produce pain in patients without any prior history of back pain.</w:t>
      </w:r>
      <w:r>
        <w:rPr>
          <w:vertAlign w:val="superscript"/>
        </w:rPr>
        <w:t>1,2</w:t>
      </w:r>
      <w:r>
        <w:t xml:space="preserve"> </w:t>
      </w:r>
      <w:r w:rsidR="00117B74">
        <w:t xml:space="preserve"> </w:t>
      </w:r>
      <w:r>
        <w:t xml:space="preserve">Additionally, studies have come to conflicting conclusions regarding the accuracy of lumbar discography in identifying the source of </w:t>
      </w:r>
      <w:proofErr w:type="spellStart"/>
      <w:r>
        <w:t>discogenic</w:t>
      </w:r>
      <w:proofErr w:type="spellEnd"/>
      <w:r>
        <w:t xml:space="preserve"> pain and in guiding treatment decisions.</w:t>
      </w:r>
      <w:r>
        <w:rPr>
          <w:vertAlign w:val="superscript"/>
        </w:rPr>
        <w:t>3-7</w:t>
      </w:r>
      <w:r w:rsidR="00117B74">
        <w:rPr>
          <w:vertAlign w:val="superscript"/>
        </w:rPr>
        <w:t xml:space="preserve"> </w:t>
      </w:r>
      <w:r>
        <w:t xml:space="preserve"> </w:t>
      </w:r>
      <w:r w:rsidR="007168C5">
        <w:t>Discography after lumbar discectomy in particular has been noted to produce pain in patients who are otherwise asymptomatic.</w:t>
      </w:r>
      <w:r w:rsidR="0098327E">
        <w:rPr>
          <w:vertAlign w:val="superscript"/>
        </w:rPr>
        <w:t>8</w:t>
      </w:r>
      <w:r w:rsidR="007168C5">
        <w:t xml:space="preserve"> </w:t>
      </w:r>
    </w:p>
    <w:p w:rsidR="00E5703D" w:rsidRDefault="00E5703D" w:rsidP="00F113F5"/>
    <w:p w:rsidR="00E5703D" w:rsidRPr="00393F4D" w:rsidRDefault="00E5703D" w:rsidP="00F113F5">
      <w:pPr>
        <w:rPr>
          <w:vertAlign w:val="superscript"/>
        </w:rPr>
      </w:pPr>
      <w:r>
        <w:t>Recent guidelines upheld prior statements regarding the unsuitability of discography as a stand-alone test.</w:t>
      </w:r>
      <w:r>
        <w:rPr>
          <w:vertAlign w:val="superscript"/>
        </w:rPr>
        <w:t>1,</w:t>
      </w:r>
      <w:r w:rsidR="0098327E">
        <w:rPr>
          <w:vertAlign w:val="superscript"/>
        </w:rPr>
        <w:t>9</w:t>
      </w:r>
      <w:r>
        <w:t xml:space="preserve"> </w:t>
      </w:r>
      <w:r w:rsidR="00117B74">
        <w:t xml:space="preserve"> </w:t>
      </w:r>
      <w:r>
        <w:t xml:space="preserve">Moreover, there is evidence from a prospective cohort study that discography may lead to accelerated disk degeneration such as occurrence of new </w:t>
      </w:r>
      <w:proofErr w:type="spellStart"/>
      <w:r>
        <w:t>herniations</w:t>
      </w:r>
      <w:proofErr w:type="spellEnd"/>
      <w:r>
        <w:t>, loss of disc height</w:t>
      </w:r>
      <w:r w:rsidR="00E55AF6">
        <w:t>,</w:t>
      </w:r>
      <w:r>
        <w:t xml:space="preserve"> and loss of disc signal intensity.</w:t>
      </w:r>
      <w:r w:rsidR="0098327E">
        <w:rPr>
          <w:vertAlign w:val="superscript"/>
        </w:rPr>
        <w:t>10</w:t>
      </w:r>
    </w:p>
    <w:p w:rsidR="00E5703D" w:rsidRDefault="00E5703D">
      <w:pPr>
        <w:rPr>
          <w:b/>
          <w:bCs/>
        </w:rPr>
      </w:pPr>
    </w:p>
    <w:p w:rsidR="00E5703D" w:rsidRPr="00D30550" w:rsidRDefault="00E5703D">
      <w:pPr>
        <w:rPr>
          <w:bCs/>
          <w:i/>
        </w:rPr>
      </w:pPr>
      <w:r w:rsidRPr="00D30550">
        <w:rPr>
          <w:bCs/>
          <w:i/>
        </w:rPr>
        <w:t>Cervical/Thoracic Discography</w:t>
      </w:r>
    </w:p>
    <w:p w:rsidR="00E5703D" w:rsidRDefault="00E5703D">
      <w:pPr>
        <w:rPr>
          <w:bCs/>
          <w:vertAlign w:val="superscript"/>
        </w:rPr>
      </w:pPr>
      <w:r>
        <w:rPr>
          <w:bCs/>
        </w:rPr>
        <w:t xml:space="preserve">While evidence is fair for lumbar discography to identify the source of </w:t>
      </w:r>
      <w:proofErr w:type="spellStart"/>
      <w:r>
        <w:rPr>
          <w:bCs/>
        </w:rPr>
        <w:t>discogenic</w:t>
      </w:r>
      <w:proofErr w:type="spellEnd"/>
      <w:r>
        <w:rPr>
          <w:bCs/>
        </w:rPr>
        <w:t xml:space="preserve"> pain, for cervical or thoracic discography, it is limited by few studies of poor quality.</w:t>
      </w:r>
      <w:r>
        <w:rPr>
          <w:bCs/>
          <w:vertAlign w:val="superscript"/>
        </w:rPr>
        <w:t>1</w:t>
      </w:r>
      <w:r w:rsidR="0098327E">
        <w:rPr>
          <w:bCs/>
          <w:vertAlign w:val="superscript"/>
        </w:rPr>
        <w:t>1</w:t>
      </w:r>
      <w:r>
        <w:rPr>
          <w:bCs/>
          <w:vertAlign w:val="superscript"/>
        </w:rPr>
        <w:t>-1</w:t>
      </w:r>
      <w:r w:rsidR="0098327E">
        <w:rPr>
          <w:bCs/>
          <w:vertAlign w:val="superscript"/>
        </w:rPr>
        <w:t>3</w:t>
      </w:r>
      <w:r>
        <w:rPr>
          <w:bCs/>
          <w:vertAlign w:val="superscript"/>
        </w:rPr>
        <w:t xml:space="preserve"> </w:t>
      </w:r>
    </w:p>
    <w:p w:rsidR="00E5703D" w:rsidRDefault="00E5703D">
      <w:pPr>
        <w:rPr>
          <w:bCs/>
          <w:vertAlign w:val="superscript"/>
        </w:rPr>
      </w:pPr>
    </w:p>
    <w:p w:rsidR="00E5703D" w:rsidRPr="00FD40EF" w:rsidRDefault="00E5703D">
      <w:pPr>
        <w:rPr>
          <w:bCs/>
        </w:rPr>
      </w:pPr>
      <w:r>
        <w:rPr>
          <w:bCs/>
        </w:rPr>
        <w:t xml:space="preserve">Lumbar discography represents a screening tool for the source of </w:t>
      </w:r>
      <w:proofErr w:type="spellStart"/>
      <w:r>
        <w:rPr>
          <w:bCs/>
        </w:rPr>
        <w:t>discogenic</w:t>
      </w:r>
      <w:proofErr w:type="spellEnd"/>
      <w:r>
        <w:rPr>
          <w:bCs/>
        </w:rPr>
        <w:t xml:space="preserve"> pain after other sources of lumbar pain have been excluded and when treatment is </w:t>
      </w:r>
      <w:proofErr w:type="gramStart"/>
      <w:r>
        <w:rPr>
          <w:bCs/>
        </w:rPr>
        <w:t>available.</w:t>
      </w:r>
      <w:r>
        <w:rPr>
          <w:bCs/>
          <w:vertAlign w:val="superscript"/>
        </w:rPr>
        <w:t>1</w:t>
      </w:r>
      <w:r w:rsidR="0098327E">
        <w:rPr>
          <w:bCs/>
          <w:vertAlign w:val="superscript"/>
        </w:rPr>
        <w:t>1</w:t>
      </w:r>
      <w:r w:rsidR="00117B74">
        <w:rPr>
          <w:bCs/>
          <w:vertAlign w:val="superscript"/>
        </w:rPr>
        <w:t xml:space="preserve"> </w:t>
      </w:r>
      <w:r>
        <w:rPr>
          <w:bCs/>
          <w:vertAlign w:val="superscript"/>
        </w:rPr>
        <w:t xml:space="preserve"> </w:t>
      </w:r>
      <w:r>
        <w:rPr>
          <w:bCs/>
        </w:rPr>
        <w:t>For</w:t>
      </w:r>
      <w:proofErr w:type="gramEnd"/>
      <w:r>
        <w:rPr>
          <w:bCs/>
        </w:rPr>
        <w:t xml:space="preserve"> cervical and thoracic pain, discography is not an appropriate diagnostic or screening tool.</w:t>
      </w:r>
    </w:p>
    <w:p w:rsidR="00E5703D" w:rsidRPr="000465DE" w:rsidRDefault="00E5703D">
      <w:pPr>
        <w:rPr>
          <w:b/>
          <w:bCs/>
        </w:rPr>
      </w:pPr>
    </w:p>
    <w:p w:rsidR="00E5703D" w:rsidRPr="00B777AF" w:rsidRDefault="00E5703D" w:rsidP="00170B14">
      <w:pPr>
        <w:rPr>
          <w:b/>
        </w:rPr>
      </w:pPr>
      <w:bookmarkStart w:id="1" w:name="Coding_Implications"/>
      <w:r w:rsidRPr="00B777AF">
        <w:rPr>
          <w:b/>
        </w:rPr>
        <w:t>Coding Implications</w:t>
      </w:r>
    </w:p>
    <w:bookmarkEnd w:id="1"/>
    <w:p w:rsidR="00E5703D" w:rsidRDefault="00E5703D" w:rsidP="00AF5490">
      <w:r w:rsidRPr="00507DC0">
        <w:lastRenderedPageBreak/>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w:t>
      </w:r>
      <w:r w:rsidR="00117B74">
        <w:t xml:space="preserve"> </w:t>
      </w:r>
      <w:r>
        <w:t xml:space="preserve"> All CPT</w:t>
      </w:r>
      <w:r w:rsidRPr="00507DC0">
        <w:t xml:space="preserve"> codes and descriptions are copyrighted </w:t>
      </w:r>
      <w:r w:rsidR="00117B74" w:rsidRPr="00507DC0">
        <w:t>201</w:t>
      </w:r>
      <w:r w:rsidR="00117B74">
        <w:t>9</w:t>
      </w:r>
      <w:r w:rsidRPr="00507DC0">
        <w:t>, American Medical Association.</w:t>
      </w:r>
      <w:r w:rsidR="00117B74">
        <w:t xml:space="preserve"> </w:t>
      </w:r>
      <w:r w:rsidRPr="00507DC0">
        <w:t xml:space="preserve">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rsidR="00E5703D" w:rsidRPr="00A85489" w:rsidRDefault="00E5703D" w:rsidP="00AF5490"/>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08"/>
        <w:gridCol w:w="7816"/>
      </w:tblGrid>
      <w:tr w:rsidR="00E5703D" w:rsidRPr="00B777AF" w:rsidTr="00F342C0">
        <w:trPr>
          <w:tblHeader/>
        </w:trPr>
        <w:tc>
          <w:tcPr>
            <w:tcW w:w="1108" w:type="dxa"/>
            <w:shd w:val="clear" w:color="auto" w:fill="00548C"/>
          </w:tcPr>
          <w:p w:rsidR="00E5703D" w:rsidRPr="00D15542" w:rsidRDefault="00E5703D" w:rsidP="00C10DF0">
            <w:pPr>
              <w:rPr>
                <w:b/>
                <w:bCs/>
                <w:color w:val="FFFFFF"/>
              </w:rPr>
            </w:pPr>
            <w:r w:rsidRPr="00D15542">
              <w:rPr>
                <w:b/>
                <w:color w:val="FFFFFF"/>
              </w:rPr>
              <w:t>CPT</w:t>
            </w:r>
            <w:r w:rsidRPr="00D15542">
              <w:rPr>
                <w:b/>
                <w:color w:val="FFFFFF"/>
                <w:vertAlign w:val="superscript"/>
              </w:rPr>
              <w:t>®</w:t>
            </w:r>
            <w:r w:rsidRPr="00D15542">
              <w:rPr>
                <w:b/>
                <w:color w:val="FFFFFF"/>
              </w:rPr>
              <w:t xml:space="preserve"> Codes </w:t>
            </w:r>
          </w:p>
        </w:tc>
        <w:tc>
          <w:tcPr>
            <w:tcW w:w="7816" w:type="dxa"/>
            <w:shd w:val="clear" w:color="auto" w:fill="00548C"/>
          </w:tcPr>
          <w:p w:rsidR="00E5703D" w:rsidRPr="00D15542" w:rsidRDefault="00E5703D" w:rsidP="00C10DF0">
            <w:pPr>
              <w:rPr>
                <w:b/>
                <w:bCs/>
                <w:color w:val="FFFFFF"/>
              </w:rPr>
            </w:pPr>
            <w:r w:rsidRPr="00D15542">
              <w:rPr>
                <w:b/>
                <w:color w:val="FFFFFF"/>
              </w:rPr>
              <w:t>Description</w:t>
            </w:r>
          </w:p>
        </w:tc>
      </w:tr>
      <w:tr w:rsidR="00E5703D" w:rsidRPr="005144C0" w:rsidTr="00F342C0">
        <w:tc>
          <w:tcPr>
            <w:tcW w:w="1108" w:type="dxa"/>
          </w:tcPr>
          <w:p w:rsidR="00E5703D" w:rsidRPr="00D15542" w:rsidRDefault="00E5703D" w:rsidP="00C10DF0">
            <w:pPr>
              <w:rPr>
                <w:bCs/>
              </w:rPr>
            </w:pPr>
            <w:r w:rsidRPr="00D15542">
              <w:rPr>
                <w:bCs/>
              </w:rPr>
              <w:t>62290</w:t>
            </w:r>
          </w:p>
        </w:tc>
        <w:tc>
          <w:tcPr>
            <w:tcW w:w="7816" w:type="dxa"/>
          </w:tcPr>
          <w:p w:rsidR="00E5703D" w:rsidRPr="00D15542" w:rsidRDefault="00E5703D" w:rsidP="00C10DF0">
            <w:pPr>
              <w:rPr>
                <w:color w:val="000000"/>
              </w:rPr>
            </w:pPr>
            <w:r w:rsidRPr="00D15542">
              <w:rPr>
                <w:color w:val="000000"/>
              </w:rPr>
              <w:t>Injection procedure for discography, each level; lumbar</w:t>
            </w:r>
          </w:p>
        </w:tc>
      </w:tr>
      <w:tr w:rsidR="00E5703D" w:rsidRPr="005144C0" w:rsidTr="00F342C0">
        <w:tc>
          <w:tcPr>
            <w:tcW w:w="1108" w:type="dxa"/>
          </w:tcPr>
          <w:p w:rsidR="00E5703D" w:rsidRPr="00D15542" w:rsidRDefault="00E5703D" w:rsidP="00C10DF0">
            <w:pPr>
              <w:rPr>
                <w:bCs/>
              </w:rPr>
            </w:pPr>
            <w:r w:rsidRPr="00D15542">
              <w:rPr>
                <w:bCs/>
              </w:rPr>
              <w:t>62291</w:t>
            </w:r>
          </w:p>
        </w:tc>
        <w:tc>
          <w:tcPr>
            <w:tcW w:w="7816" w:type="dxa"/>
          </w:tcPr>
          <w:p w:rsidR="00E5703D" w:rsidRPr="00D15542" w:rsidRDefault="00E5703D" w:rsidP="00C10DF0">
            <w:pPr>
              <w:rPr>
                <w:color w:val="000000"/>
              </w:rPr>
            </w:pPr>
            <w:r w:rsidRPr="00D15542">
              <w:rPr>
                <w:color w:val="000000"/>
              </w:rPr>
              <w:t>Injection procedure for discography, each level; cervical or thoracic</w:t>
            </w:r>
          </w:p>
        </w:tc>
      </w:tr>
      <w:tr w:rsidR="00E5703D" w:rsidRPr="005144C0" w:rsidTr="00F342C0">
        <w:tc>
          <w:tcPr>
            <w:tcW w:w="1108" w:type="dxa"/>
          </w:tcPr>
          <w:p w:rsidR="00E5703D" w:rsidRPr="00D15542" w:rsidRDefault="00E5703D" w:rsidP="00C10DF0">
            <w:pPr>
              <w:rPr>
                <w:bCs/>
              </w:rPr>
            </w:pPr>
            <w:r w:rsidRPr="00D15542">
              <w:rPr>
                <w:bCs/>
              </w:rPr>
              <w:t>62292</w:t>
            </w:r>
          </w:p>
        </w:tc>
        <w:tc>
          <w:tcPr>
            <w:tcW w:w="7816" w:type="dxa"/>
          </w:tcPr>
          <w:p w:rsidR="00E5703D" w:rsidRPr="00D15542" w:rsidRDefault="00E5703D" w:rsidP="00C10DF0">
            <w:pPr>
              <w:rPr>
                <w:color w:val="000000"/>
              </w:rPr>
            </w:pPr>
            <w:r w:rsidRPr="00D15542">
              <w:rPr>
                <w:color w:val="000000"/>
              </w:rPr>
              <w:t xml:space="preserve">Injection procedure for </w:t>
            </w:r>
            <w:proofErr w:type="spellStart"/>
            <w:r w:rsidRPr="00D15542">
              <w:rPr>
                <w:color w:val="000000"/>
              </w:rPr>
              <w:t>chemonucleolysis</w:t>
            </w:r>
            <w:proofErr w:type="spellEnd"/>
            <w:r w:rsidRPr="00D15542">
              <w:rPr>
                <w:color w:val="000000"/>
              </w:rPr>
              <w:t>, including discography, intervertebral disc, single or multiple levels, lumbar</w:t>
            </w:r>
          </w:p>
        </w:tc>
      </w:tr>
      <w:tr w:rsidR="00E5703D" w:rsidRPr="005144C0" w:rsidTr="00F342C0">
        <w:tc>
          <w:tcPr>
            <w:tcW w:w="1108" w:type="dxa"/>
          </w:tcPr>
          <w:p w:rsidR="00E5703D" w:rsidRPr="00D15542" w:rsidRDefault="00E5703D" w:rsidP="00C10DF0">
            <w:pPr>
              <w:rPr>
                <w:bCs/>
              </w:rPr>
            </w:pPr>
            <w:r w:rsidRPr="00D15542">
              <w:rPr>
                <w:bCs/>
              </w:rPr>
              <w:t>72285</w:t>
            </w:r>
          </w:p>
        </w:tc>
        <w:tc>
          <w:tcPr>
            <w:tcW w:w="7816" w:type="dxa"/>
          </w:tcPr>
          <w:p w:rsidR="00E5703D" w:rsidRPr="00D15542" w:rsidRDefault="00E5703D" w:rsidP="00D15542">
            <w:pPr>
              <w:tabs>
                <w:tab w:val="left" w:pos="1470"/>
              </w:tabs>
              <w:rPr>
                <w:color w:val="000000"/>
              </w:rPr>
            </w:pPr>
            <w:r>
              <w:rPr>
                <w:rStyle w:val="file"/>
              </w:rPr>
              <w:t>Discography, cervical or thoracic, radiological supervision and interpretation</w:t>
            </w:r>
          </w:p>
        </w:tc>
      </w:tr>
      <w:tr w:rsidR="00E5703D" w:rsidRPr="005144C0" w:rsidTr="00F342C0">
        <w:tc>
          <w:tcPr>
            <w:tcW w:w="1108" w:type="dxa"/>
          </w:tcPr>
          <w:p w:rsidR="00E5703D" w:rsidRPr="00D15542" w:rsidRDefault="00E5703D" w:rsidP="00C10DF0">
            <w:pPr>
              <w:rPr>
                <w:bCs/>
              </w:rPr>
            </w:pPr>
            <w:r w:rsidRPr="00D15542">
              <w:rPr>
                <w:bCs/>
              </w:rPr>
              <w:t>72295</w:t>
            </w:r>
          </w:p>
        </w:tc>
        <w:tc>
          <w:tcPr>
            <w:tcW w:w="7816" w:type="dxa"/>
          </w:tcPr>
          <w:p w:rsidR="00E5703D" w:rsidRPr="00D15542" w:rsidRDefault="00E5703D" w:rsidP="00D15542">
            <w:pPr>
              <w:tabs>
                <w:tab w:val="left" w:pos="1470"/>
              </w:tabs>
              <w:rPr>
                <w:color w:val="000000"/>
              </w:rPr>
            </w:pPr>
            <w:r>
              <w:rPr>
                <w:rStyle w:val="file"/>
              </w:rPr>
              <w:t>Discography, lumbar, radiological supervision and interpretation</w:t>
            </w:r>
          </w:p>
        </w:tc>
      </w:tr>
    </w:tbl>
    <w:p w:rsidR="00E5703D" w:rsidRDefault="00E5703D" w:rsidP="00AF5490"/>
    <w:p w:rsidR="00E5703D" w:rsidRDefault="00E5703D" w:rsidP="00D80559">
      <w:pPr>
        <w:autoSpaceDE w:val="0"/>
        <w:autoSpaceDN w:val="0"/>
        <w:adjustRightInd w:val="0"/>
        <w:rPr>
          <w:b/>
          <w:bCs/>
          <w:color w:val="000000"/>
        </w:rPr>
      </w:pPr>
      <w:r>
        <w:rPr>
          <w:b/>
          <w:bCs/>
          <w:color w:val="000000"/>
        </w:rPr>
        <w:t>ICD-10-CM Diagnosis Codes that Support Coverage Criteria</w:t>
      </w:r>
    </w:p>
    <w:tbl>
      <w:tblPr>
        <w:tblW w:w="5000" w:type="pct"/>
        <w:tblLayout w:type="fixed"/>
        <w:tblLook w:val="00A0" w:firstRow="1" w:lastRow="0" w:firstColumn="1" w:lastColumn="0" w:noHBand="0" w:noVBand="0"/>
      </w:tblPr>
      <w:tblGrid>
        <w:gridCol w:w="1674"/>
        <w:gridCol w:w="7670"/>
      </w:tblGrid>
      <w:tr w:rsidR="00E5703D" w:rsidTr="006B0026">
        <w:tc>
          <w:tcPr>
            <w:tcW w:w="896" w:type="pct"/>
            <w:tcBorders>
              <w:top w:val="single" w:sz="6" w:space="0" w:color="000000"/>
              <w:left w:val="single" w:sz="6" w:space="0" w:color="000000"/>
              <w:bottom w:val="single" w:sz="6" w:space="0" w:color="000000"/>
              <w:right w:val="single" w:sz="6" w:space="0" w:color="000000"/>
            </w:tcBorders>
            <w:shd w:val="clear" w:color="auto" w:fill="00548C"/>
          </w:tcPr>
          <w:p w:rsidR="00E5703D" w:rsidRDefault="00E5703D">
            <w:pPr>
              <w:autoSpaceDE w:val="0"/>
              <w:autoSpaceDN w:val="0"/>
              <w:adjustRightInd w:val="0"/>
              <w:rPr>
                <w:b/>
                <w:bCs/>
                <w:color w:val="FFFFFF"/>
              </w:rPr>
            </w:pPr>
            <w:r>
              <w:rPr>
                <w:b/>
                <w:bCs/>
                <w:color w:val="FFFFFF"/>
              </w:rPr>
              <w:t>ICD-10-CM Code</w:t>
            </w:r>
          </w:p>
        </w:tc>
        <w:tc>
          <w:tcPr>
            <w:tcW w:w="4104" w:type="pct"/>
            <w:tcBorders>
              <w:top w:val="single" w:sz="6" w:space="0" w:color="000000"/>
              <w:left w:val="single" w:sz="6" w:space="0" w:color="000000"/>
              <w:bottom w:val="single" w:sz="6" w:space="0" w:color="000000"/>
              <w:right w:val="single" w:sz="6" w:space="0" w:color="000000"/>
            </w:tcBorders>
            <w:shd w:val="clear" w:color="auto" w:fill="00548C"/>
          </w:tcPr>
          <w:p w:rsidR="00E5703D" w:rsidRDefault="00E5703D">
            <w:pPr>
              <w:autoSpaceDE w:val="0"/>
              <w:autoSpaceDN w:val="0"/>
              <w:adjustRightInd w:val="0"/>
              <w:rPr>
                <w:b/>
                <w:bCs/>
                <w:color w:val="FFFFFF"/>
              </w:rPr>
            </w:pPr>
            <w:r>
              <w:rPr>
                <w:b/>
                <w:bCs/>
                <w:color w:val="FFFFFF"/>
              </w:rPr>
              <w:t>Description</w:t>
            </w:r>
          </w:p>
        </w:tc>
      </w:tr>
      <w:tr w:rsidR="00E5703D" w:rsidTr="00D80559">
        <w:tc>
          <w:tcPr>
            <w:tcW w:w="896" w:type="pct"/>
            <w:tcBorders>
              <w:top w:val="single" w:sz="6" w:space="0" w:color="000000"/>
              <w:left w:val="single" w:sz="6" w:space="0" w:color="000000"/>
              <w:bottom w:val="single" w:sz="6" w:space="0" w:color="000000"/>
              <w:right w:val="single" w:sz="6" w:space="0" w:color="000000"/>
            </w:tcBorders>
          </w:tcPr>
          <w:p w:rsidR="00E5703D" w:rsidRDefault="00E5703D">
            <w:pPr>
              <w:autoSpaceDE w:val="0"/>
              <w:autoSpaceDN w:val="0"/>
              <w:adjustRightInd w:val="0"/>
              <w:rPr>
                <w:color w:val="000000"/>
              </w:rPr>
            </w:pPr>
            <w:r>
              <w:rPr>
                <w:color w:val="000000"/>
              </w:rPr>
              <w:t>M54.5</w:t>
            </w:r>
          </w:p>
        </w:tc>
        <w:tc>
          <w:tcPr>
            <w:tcW w:w="4104" w:type="pct"/>
            <w:tcBorders>
              <w:top w:val="single" w:sz="6" w:space="0" w:color="000000"/>
              <w:left w:val="single" w:sz="6" w:space="0" w:color="000000"/>
              <w:bottom w:val="single" w:sz="6" w:space="0" w:color="000000"/>
              <w:right w:val="single" w:sz="6" w:space="0" w:color="000000"/>
            </w:tcBorders>
          </w:tcPr>
          <w:p w:rsidR="00E5703D" w:rsidRDefault="00E5703D">
            <w:pPr>
              <w:autoSpaceDE w:val="0"/>
              <w:autoSpaceDN w:val="0"/>
              <w:adjustRightInd w:val="0"/>
              <w:rPr>
                <w:color w:val="000000"/>
              </w:rPr>
            </w:pPr>
            <w:r>
              <w:rPr>
                <w:color w:val="000000"/>
              </w:rPr>
              <w:t>Low back pain</w:t>
            </w:r>
          </w:p>
        </w:tc>
      </w:tr>
      <w:tr w:rsidR="00E5703D" w:rsidTr="00D80559">
        <w:tc>
          <w:tcPr>
            <w:tcW w:w="896" w:type="pct"/>
            <w:tcBorders>
              <w:top w:val="single" w:sz="6" w:space="0" w:color="000000"/>
              <w:left w:val="single" w:sz="6" w:space="0" w:color="000000"/>
              <w:bottom w:val="single" w:sz="6" w:space="0" w:color="000000"/>
              <w:right w:val="single" w:sz="6" w:space="0" w:color="000000"/>
            </w:tcBorders>
          </w:tcPr>
          <w:p w:rsidR="00E5703D" w:rsidRDefault="00E5703D">
            <w:pPr>
              <w:autoSpaceDE w:val="0"/>
              <w:autoSpaceDN w:val="0"/>
              <w:adjustRightInd w:val="0"/>
              <w:rPr>
                <w:color w:val="000000"/>
              </w:rPr>
            </w:pPr>
            <w:r>
              <w:rPr>
                <w:color w:val="000000"/>
              </w:rPr>
              <w:t>M54.6</w:t>
            </w:r>
          </w:p>
        </w:tc>
        <w:tc>
          <w:tcPr>
            <w:tcW w:w="4104" w:type="pct"/>
            <w:tcBorders>
              <w:top w:val="single" w:sz="6" w:space="0" w:color="000000"/>
              <w:left w:val="single" w:sz="6" w:space="0" w:color="000000"/>
              <w:bottom w:val="single" w:sz="6" w:space="0" w:color="000000"/>
              <w:right w:val="single" w:sz="6" w:space="0" w:color="000000"/>
            </w:tcBorders>
          </w:tcPr>
          <w:p w:rsidR="00E5703D" w:rsidRDefault="00E5703D">
            <w:pPr>
              <w:autoSpaceDE w:val="0"/>
              <w:autoSpaceDN w:val="0"/>
              <w:adjustRightInd w:val="0"/>
              <w:rPr>
                <w:color w:val="000000"/>
              </w:rPr>
            </w:pPr>
            <w:r>
              <w:rPr>
                <w:color w:val="000000"/>
              </w:rPr>
              <w:t>Pain in thoracic spine</w:t>
            </w:r>
          </w:p>
        </w:tc>
      </w:tr>
    </w:tbl>
    <w:p w:rsidR="0098327E" w:rsidRDefault="0098327E"/>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321"/>
        <w:gridCol w:w="790"/>
        <w:gridCol w:w="1229"/>
      </w:tblGrid>
      <w:tr w:rsidR="00E5703D" w:rsidRPr="00B777AF" w:rsidTr="00D80559">
        <w:trPr>
          <w:tblHeader/>
        </w:trPr>
        <w:tc>
          <w:tcPr>
            <w:tcW w:w="3919" w:type="pct"/>
            <w:tcBorders>
              <w:top w:val="single" w:sz="8" w:space="0" w:color="4F81BD"/>
            </w:tcBorders>
            <w:shd w:val="clear" w:color="auto" w:fill="00548C"/>
          </w:tcPr>
          <w:p w:rsidR="00E5703D" w:rsidRPr="00D15542" w:rsidRDefault="00E5703D" w:rsidP="00B777AF">
            <w:pPr>
              <w:rPr>
                <w:b/>
                <w:bCs/>
                <w:color w:val="FFFFFF"/>
              </w:rPr>
            </w:pPr>
            <w:bookmarkStart w:id="2" w:name="Revision_Log"/>
            <w:r w:rsidRPr="00D15542">
              <w:rPr>
                <w:b/>
                <w:color w:val="FFFFFF"/>
              </w:rPr>
              <w:t>Reviews, Revisions, and Approvals</w:t>
            </w:r>
            <w:bookmarkEnd w:id="2"/>
          </w:p>
        </w:tc>
        <w:tc>
          <w:tcPr>
            <w:tcW w:w="423" w:type="pct"/>
            <w:shd w:val="clear" w:color="auto" w:fill="00548C"/>
          </w:tcPr>
          <w:p w:rsidR="00E5703D" w:rsidRPr="00D15542" w:rsidRDefault="00E5703D" w:rsidP="00D15542">
            <w:pPr>
              <w:jc w:val="center"/>
              <w:rPr>
                <w:b/>
                <w:bCs/>
                <w:color w:val="FFFFFF"/>
              </w:rPr>
            </w:pPr>
            <w:r w:rsidRPr="00D15542">
              <w:rPr>
                <w:b/>
                <w:color w:val="FFFFFF"/>
              </w:rPr>
              <w:t>Date</w:t>
            </w:r>
          </w:p>
        </w:tc>
        <w:tc>
          <w:tcPr>
            <w:tcW w:w="658" w:type="pct"/>
            <w:tcBorders>
              <w:top w:val="single" w:sz="8" w:space="0" w:color="4F81BD"/>
            </w:tcBorders>
            <w:shd w:val="clear" w:color="auto" w:fill="00548C"/>
          </w:tcPr>
          <w:p w:rsidR="00E5703D" w:rsidRPr="00D15542" w:rsidRDefault="00E5703D" w:rsidP="00D15542">
            <w:pPr>
              <w:jc w:val="center"/>
              <w:rPr>
                <w:b/>
                <w:bCs/>
                <w:color w:val="FFFFFF"/>
              </w:rPr>
            </w:pPr>
            <w:r w:rsidRPr="00D15542">
              <w:rPr>
                <w:b/>
                <w:color w:val="FFFFFF"/>
              </w:rPr>
              <w:t>Approval Date</w:t>
            </w:r>
          </w:p>
        </w:tc>
      </w:tr>
      <w:tr w:rsidR="00E5703D" w:rsidTr="00D80559">
        <w:tc>
          <w:tcPr>
            <w:tcW w:w="3919" w:type="pct"/>
          </w:tcPr>
          <w:p w:rsidR="00E5703D" w:rsidRDefault="00E5703D" w:rsidP="00D15542">
            <w:pPr>
              <w:tabs>
                <w:tab w:val="num" w:pos="720"/>
              </w:tabs>
            </w:pPr>
            <w:r>
              <w:t>Policy split from CP.MP.63 Pain Management Procedures.</w:t>
            </w:r>
          </w:p>
          <w:p w:rsidR="00E5703D" w:rsidRDefault="00E5703D" w:rsidP="00D15542">
            <w:pPr>
              <w:tabs>
                <w:tab w:val="num" w:pos="720"/>
              </w:tabs>
            </w:pPr>
            <w:r>
              <w:t xml:space="preserve">Added that other imaging must not have confirmed source of </w:t>
            </w:r>
            <w:proofErr w:type="spellStart"/>
            <w:r>
              <w:t>discogenic</w:t>
            </w:r>
            <w:proofErr w:type="spellEnd"/>
            <w:r>
              <w:t xml:space="preserve"> pain. Added that pain must not be radicular, per </w:t>
            </w:r>
            <w:proofErr w:type="spellStart"/>
            <w:r>
              <w:t>UpToDate</w:t>
            </w:r>
            <w:proofErr w:type="spellEnd"/>
            <w:r>
              <w:t xml:space="preserve"> and </w:t>
            </w:r>
            <w:proofErr w:type="spellStart"/>
            <w:r>
              <w:t>Manchikanti</w:t>
            </w:r>
            <w:proofErr w:type="spellEnd"/>
            <w:r>
              <w:t xml:space="preserve"> et al. </w:t>
            </w:r>
          </w:p>
          <w:p w:rsidR="007168C5" w:rsidRDefault="00E5703D" w:rsidP="0098327E">
            <w:pPr>
              <w:tabs>
                <w:tab w:val="num" w:pos="720"/>
              </w:tabs>
            </w:pPr>
            <w:r>
              <w:t>Added background information.</w:t>
            </w:r>
          </w:p>
        </w:tc>
        <w:tc>
          <w:tcPr>
            <w:tcW w:w="423" w:type="pct"/>
          </w:tcPr>
          <w:p w:rsidR="00E5703D" w:rsidRDefault="00E5703D" w:rsidP="00D15542">
            <w:pPr>
              <w:jc w:val="center"/>
            </w:pPr>
            <w:r>
              <w:t>07/16</w:t>
            </w:r>
          </w:p>
        </w:tc>
        <w:tc>
          <w:tcPr>
            <w:tcW w:w="658" w:type="pct"/>
          </w:tcPr>
          <w:p w:rsidR="00E5703D" w:rsidRDefault="00E5703D" w:rsidP="00D15542">
            <w:pPr>
              <w:jc w:val="center"/>
            </w:pPr>
          </w:p>
        </w:tc>
      </w:tr>
      <w:tr w:rsidR="00941567" w:rsidTr="00D80559">
        <w:tc>
          <w:tcPr>
            <w:tcW w:w="3919" w:type="pct"/>
          </w:tcPr>
          <w:p w:rsidR="00267A07" w:rsidRDefault="00941567" w:rsidP="00D15542">
            <w:pPr>
              <w:tabs>
                <w:tab w:val="num" w:pos="720"/>
              </w:tabs>
            </w:pPr>
            <w:r>
              <w:t xml:space="preserve">Per specialist review and verification in literature: Added requirement for psychosocial assessment with no major unresolved findings and no previous history of lumbar discectomy. Modified criteria to require that 2 levels must be injected- one for diagnosis and one for control. Added that member must not have had prior surgery on the disks to be injected. Added that patient must be eligible for surgery for which discography is providing confirmation of </w:t>
            </w:r>
            <w:proofErr w:type="spellStart"/>
            <w:r>
              <w:t>discogenic</w:t>
            </w:r>
            <w:proofErr w:type="spellEnd"/>
            <w:r>
              <w:t xml:space="preserve"> pain.</w:t>
            </w:r>
            <w:r w:rsidR="00267A07">
              <w:t xml:space="preserve"> </w:t>
            </w:r>
          </w:p>
          <w:p w:rsidR="00941567" w:rsidRDefault="00941567" w:rsidP="00D15542">
            <w:pPr>
              <w:tabs>
                <w:tab w:val="num" w:pos="720"/>
              </w:tabs>
            </w:pPr>
            <w:r>
              <w:t>II: Changed experimental/investigational to investigational.</w:t>
            </w:r>
          </w:p>
        </w:tc>
        <w:tc>
          <w:tcPr>
            <w:tcW w:w="423" w:type="pct"/>
          </w:tcPr>
          <w:p w:rsidR="00941567" w:rsidRDefault="00941567" w:rsidP="00D15542">
            <w:pPr>
              <w:jc w:val="center"/>
            </w:pPr>
            <w:r>
              <w:t>08/16</w:t>
            </w:r>
          </w:p>
        </w:tc>
        <w:tc>
          <w:tcPr>
            <w:tcW w:w="658" w:type="pct"/>
          </w:tcPr>
          <w:p w:rsidR="00941567" w:rsidRDefault="005A6268" w:rsidP="00D15542">
            <w:pPr>
              <w:jc w:val="center"/>
            </w:pPr>
            <w:r>
              <w:t>08/16</w:t>
            </w:r>
          </w:p>
        </w:tc>
      </w:tr>
      <w:tr w:rsidR="005A7503" w:rsidTr="00D80559">
        <w:tc>
          <w:tcPr>
            <w:tcW w:w="3919" w:type="pct"/>
          </w:tcPr>
          <w:p w:rsidR="005A7503" w:rsidRDefault="000F6696" w:rsidP="00D15542">
            <w:pPr>
              <w:tabs>
                <w:tab w:val="num" w:pos="720"/>
              </w:tabs>
            </w:pPr>
            <w:r>
              <w:t xml:space="preserve">I.B: changed no “unresolved emotional or chronic pain problems” to “unresolved emotional or psychological problems that abnormally affect perception of </w:t>
            </w:r>
            <w:r w:rsidRPr="00BF27C9">
              <w:t>chronic pain</w:t>
            </w:r>
            <w:r>
              <w:t>.” References reviewed and updated.</w:t>
            </w:r>
          </w:p>
        </w:tc>
        <w:tc>
          <w:tcPr>
            <w:tcW w:w="423" w:type="pct"/>
          </w:tcPr>
          <w:p w:rsidR="005A7503" w:rsidRDefault="000F6696" w:rsidP="00D15542">
            <w:pPr>
              <w:jc w:val="center"/>
            </w:pPr>
            <w:r>
              <w:t>08/17</w:t>
            </w:r>
          </w:p>
        </w:tc>
        <w:tc>
          <w:tcPr>
            <w:tcW w:w="658" w:type="pct"/>
          </w:tcPr>
          <w:p w:rsidR="005A7503" w:rsidRDefault="00F87ECF" w:rsidP="00D15542">
            <w:pPr>
              <w:jc w:val="center"/>
            </w:pPr>
            <w:r>
              <w:t>08/17</w:t>
            </w:r>
          </w:p>
        </w:tc>
      </w:tr>
      <w:tr w:rsidR="0076436A" w:rsidTr="00D80559">
        <w:tc>
          <w:tcPr>
            <w:tcW w:w="3919" w:type="pct"/>
          </w:tcPr>
          <w:p w:rsidR="00B13608" w:rsidRDefault="00B13608" w:rsidP="00D15542">
            <w:pPr>
              <w:tabs>
                <w:tab w:val="num" w:pos="720"/>
              </w:tabs>
            </w:pPr>
            <w:r>
              <w:t>I: Changed lumbar discography from medically neces</w:t>
            </w:r>
            <w:r w:rsidR="0023430C">
              <w:t>sary to not medically necessary.</w:t>
            </w:r>
          </w:p>
          <w:p w:rsidR="0076436A" w:rsidRDefault="00B13608" w:rsidP="00D15542">
            <w:pPr>
              <w:tabs>
                <w:tab w:val="num" w:pos="720"/>
              </w:tabs>
            </w:pPr>
            <w:r>
              <w:t xml:space="preserve">Background updated. </w:t>
            </w:r>
            <w:r w:rsidR="00FE1126">
              <w:t>References reviewed and updated</w:t>
            </w:r>
            <w:r>
              <w:t>.</w:t>
            </w:r>
          </w:p>
        </w:tc>
        <w:tc>
          <w:tcPr>
            <w:tcW w:w="423" w:type="pct"/>
          </w:tcPr>
          <w:p w:rsidR="0076436A" w:rsidRDefault="00FE1126" w:rsidP="00D15542">
            <w:pPr>
              <w:jc w:val="center"/>
            </w:pPr>
            <w:r>
              <w:t>06/18</w:t>
            </w:r>
          </w:p>
        </w:tc>
        <w:tc>
          <w:tcPr>
            <w:tcW w:w="658" w:type="pct"/>
          </w:tcPr>
          <w:p w:rsidR="0076436A" w:rsidRDefault="0023430C" w:rsidP="00D15542">
            <w:pPr>
              <w:jc w:val="center"/>
            </w:pPr>
            <w:r>
              <w:t>06/18</w:t>
            </w:r>
          </w:p>
        </w:tc>
      </w:tr>
      <w:tr w:rsidR="002F6841" w:rsidTr="00D80559">
        <w:tc>
          <w:tcPr>
            <w:tcW w:w="3919" w:type="pct"/>
          </w:tcPr>
          <w:p w:rsidR="002F6841" w:rsidRDefault="002F6841" w:rsidP="00D15542">
            <w:pPr>
              <w:tabs>
                <w:tab w:val="num" w:pos="720"/>
              </w:tabs>
            </w:pPr>
            <w:r>
              <w:lastRenderedPageBreak/>
              <w:t>Annual review of content, references, and coding.  Specialty review.</w:t>
            </w:r>
          </w:p>
        </w:tc>
        <w:tc>
          <w:tcPr>
            <w:tcW w:w="423" w:type="pct"/>
          </w:tcPr>
          <w:p w:rsidR="002F6841" w:rsidRDefault="002F6841" w:rsidP="00D15542">
            <w:pPr>
              <w:jc w:val="center"/>
            </w:pPr>
            <w:r>
              <w:t>05/19</w:t>
            </w:r>
          </w:p>
        </w:tc>
        <w:tc>
          <w:tcPr>
            <w:tcW w:w="658" w:type="pct"/>
          </w:tcPr>
          <w:p w:rsidR="002F6841" w:rsidRDefault="001D6105" w:rsidP="00D15542">
            <w:pPr>
              <w:jc w:val="center"/>
            </w:pPr>
            <w:r>
              <w:t>06/19</w:t>
            </w:r>
          </w:p>
        </w:tc>
      </w:tr>
    </w:tbl>
    <w:p w:rsidR="002E7658" w:rsidRDefault="002E7658" w:rsidP="00963062">
      <w:pPr>
        <w:pStyle w:val="Heading3"/>
        <w:sectPr w:rsidR="002E7658" w:rsidSect="00480C09">
          <w:type w:val="continuous"/>
          <w:pgSz w:w="12240" w:h="15840" w:code="1"/>
          <w:pgMar w:top="1440" w:right="1440" w:bottom="1440" w:left="1440" w:header="576" w:footer="288" w:gutter="0"/>
          <w:cols w:space="720"/>
          <w:titlePg/>
          <w:docGrid w:linePitch="360"/>
        </w:sectPr>
      </w:pPr>
    </w:p>
    <w:p w:rsidR="00E5703D" w:rsidRPr="00B777AF" w:rsidRDefault="00E5703D" w:rsidP="00963062">
      <w:pPr>
        <w:pStyle w:val="Heading3"/>
      </w:pPr>
      <w:r>
        <w:t>References</w:t>
      </w:r>
    </w:p>
    <w:p w:rsidR="00E5703D" w:rsidRDefault="00E5703D" w:rsidP="004B55A5">
      <w:pPr>
        <w:pStyle w:val="ListParagraph"/>
        <w:numPr>
          <w:ilvl w:val="3"/>
          <w:numId w:val="22"/>
        </w:numPr>
        <w:ind w:left="360"/>
      </w:pPr>
      <w:r>
        <w:t xml:space="preserve">Eck JC, </w:t>
      </w:r>
      <w:proofErr w:type="spellStart"/>
      <w:r>
        <w:t>Sharan</w:t>
      </w:r>
      <w:proofErr w:type="spellEnd"/>
      <w:r>
        <w:t xml:space="preserve"> A, Resnick DK et al. Guideline update for the performance of fusion procedures for degenerative disease of the lumbar spine. Part 6: discography for patient selection. </w:t>
      </w:r>
      <w:r w:rsidRPr="004B55A5">
        <w:t xml:space="preserve">J </w:t>
      </w:r>
      <w:proofErr w:type="spellStart"/>
      <w:r w:rsidRPr="004B55A5">
        <w:t>Neurosurg</w:t>
      </w:r>
      <w:proofErr w:type="spellEnd"/>
      <w:r w:rsidRPr="004B55A5">
        <w:t xml:space="preserve"> Spine</w:t>
      </w:r>
      <w:r w:rsidRPr="00B518F9">
        <w:t xml:space="preserve">. </w:t>
      </w:r>
      <w:r w:rsidRPr="00881EBE">
        <w:t>2014 Jul</w:t>
      </w:r>
      <w:proofErr w:type="gramStart"/>
      <w:r w:rsidRPr="00881EBE">
        <w:t>;21</w:t>
      </w:r>
      <w:proofErr w:type="gramEnd"/>
      <w:r w:rsidRPr="00881EBE">
        <w:t xml:space="preserve">(1):37-41. </w:t>
      </w:r>
      <w:proofErr w:type="spellStart"/>
      <w:r w:rsidRPr="00881EBE">
        <w:t>doi</w:t>
      </w:r>
      <w:proofErr w:type="spellEnd"/>
      <w:r w:rsidRPr="00881EBE">
        <w:t>: 10.3171/2014.4.SPINE14269</w:t>
      </w:r>
    </w:p>
    <w:p w:rsidR="00E5703D" w:rsidRDefault="00E5703D" w:rsidP="004B55A5">
      <w:pPr>
        <w:pStyle w:val="ListParagraph"/>
        <w:numPr>
          <w:ilvl w:val="3"/>
          <w:numId w:val="22"/>
        </w:numPr>
        <w:ind w:left="360"/>
      </w:pPr>
      <w:r>
        <w:t xml:space="preserve">Chou, R. Subacute and chronic low back pain: Nonsurgical interventional treatment. Atlas SJ, </w:t>
      </w:r>
      <w:proofErr w:type="spellStart"/>
      <w:r w:rsidR="005A7503">
        <w:t>Libman</w:t>
      </w:r>
      <w:proofErr w:type="spellEnd"/>
      <w:r w:rsidR="005A7503">
        <w:t xml:space="preserve"> H</w:t>
      </w:r>
      <w:r>
        <w:t xml:space="preserve"> (Eds.). In: </w:t>
      </w:r>
      <w:proofErr w:type="spellStart"/>
      <w:r>
        <w:t>UpToDate</w:t>
      </w:r>
      <w:proofErr w:type="spellEnd"/>
      <w:r>
        <w:t xml:space="preserve">, Waltham, MA. </w:t>
      </w:r>
      <w:r w:rsidR="00BA1578">
        <w:t xml:space="preserve">June </w:t>
      </w:r>
      <w:r>
        <w:t>201</w:t>
      </w:r>
      <w:r w:rsidR="00BA1578">
        <w:t>7</w:t>
      </w:r>
      <w:r>
        <w:t xml:space="preserve">. Accessed </w:t>
      </w:r>
      <w:r w:rsidR="00D21BBD">
        <w:t>May 23, 2019</w:t>
      </w:r>
      <w:r>
        <w:t>.</w:t>
      </w:r>
    </w:p>
    <w:p w:rsidR="00E5703D" w:rsidRPr="00FD40EF" w:rsidRDefault="00E5703D" w:rsidP="00393F4D">
      <w:pPr>
        <w:pStyle w:val="ListParagraph"/>
        <w:numPr>
          <w:ilvl w:val="3"/>
          <w:numId w:val="22"/>
        </w:numPr>
        <w:ind w:left="360"/>
      </w:pPr>
      <w:proofErr w:type="spellStart"/>
      <w:r>
        <w:t>Carragee</w:t>
      </w:r>
      <w:proofErr w:type="spellEnd"/>
      <w:r>
        <w:t xml:space="preserve"> EJ, Lincoln T, </w:t>
      </w:r>
      <w:proofErr w:type="spellStart"/>
      <w:r>
        <w:t>Parmar</w:t>
      </w:r>
      <w:proofErr w:type="spellEnd"/>
      <w:r>
        <w:t xml:space="preserve"> VS, </w:t>
      </w:r>
      <w:proofErr w:type="spellStart"/>
      <w:r>
        <w:t>Alamin</w:t>
      </w:r>
      <w:proofErr w:type="spellEnd"/>
      <w:r>
        <w:t xml:space="preserve"> T. A gold standard evaluation of the </w:t>
      </w:r>
      <w:r w:rsidR="003106FC">
        <w:t>“</w:t>
      </w:r>
      <w:proofErr w:type="spellStart"/>
      <w:r>
        <w:t>discogenic</w:t>
      </w:r>
      <w:proofErr w:type="spellEnd"/>
      <w:r>
        <w:t xml:space="preserve"> pain</w:t>
      </w:r>
      <w:r w:rsidR="003106FC">
        <w:t>”</w:t>
      </w:r>
      <w:r>
        <w:t xml:space="preserve"> diagnosis as determined by provocative discography. Spine. 2006</w:t>
      </w:r>
      <w:proofErr w:type="gramStart"/>
      <w:r>
        <w:t>;31</w:t>
      </w:r>
      <w:proofErr w:type="gramEnd"/>
      <w:r>
        <w:t>(18):2115-2123.</w:t>
      </w:r>
    </w:p>
    <w:p w:rsidR="00E5703D" w:rsidRPr="00145808" w:rsidRDefault="00E5703D" w:rsidP="00393F4D">
      <w:pPr>
        <w:pStyle w:val="ListParagraph"/>
        <w:numPr>
          <w:ilvl w:val="3"/>
          <w:numId w:val="22"/>
        </w:numPr>
        <w:ind w:left="360"/>
      </w:pPr>
      <w:proofErr w:type="spellStart"/>
      <w:r>
        <w:t>Wichman</w:t>
      </w:r>
      <w:proofErr w:type="spellEnd"/>
      <w:r>
        <w:t xml:space="preserve"> HJ. Discography: Over 50 years of controversy. WMJ. 2007</w:t>
      </w:r>
      <w:proofErr w:type="gramStart"/>
      <w:r>
        <w:t>;106</w:t>
      </w:r>
      <w:proofErr w:type="gramEnd"/>
      <w:r>
        <w:t>(1):27-29.</w:t>
      </w:r>
    </w:p>
    <w:p w:rsidR="00E5703D" w:rsidRDefault="00E5703D" w:rsidP="00393F4D">
      <w:pPr>
        <w:pStyle w:val="ListParagraph"/>
        <w:numPr>
          <w:ilvl w:val="3"/>
          <w:numId w:val="22"/>
        </w:numPr>
        <w:ind w:left="360"/>
      </w:pPr>
      <w:r>
        <w:t xml:space="preserve">Yuan Q, Tian W, Cheng XG, et al. Comparison between CT-discography and magnetic resonance imaging in lumbar disc diseases. </w:t>
      </w:r>
      <w:proofErr w:type="spellStart"/>
      <w:r>
        <w:t>Zhonghua</w:t>
      </w:r>
      <w:proofErr w:type="spellEnd"/>
      <w:r>
        <w:t xml:space="preserve"> Yi </w:t>
      </w:r>
      <w:proofErr w:type="spellStart"/>
      <w:r>
        <w:t>Xue</w:t>
      </w:r>
      <w:proofErr w:type="spellEnd"/>
      <w:r>
        <w:t xml:space="preserve"> </w:t>
      </w:r>
      <w:proofErr w:type="spellStart"/>
      <w:r>
        <w:t>Za</w:t>
      </w:r>
      <w:proofErr w:type="spellEnd"/>
      <w:r>
        <w:t xml:space="preserve"> </w:t>
      </w:r>
      <w:proofErr w:type="spellStart"/>
      <w:r>
        <w:t>Zhi</w:t>
      </w:r>
      <w:proofErr w:type="spellEnd"/>
      <w:r>
        <w:t>. 2006</w:t>
      </w:r>
      <w:proofErr w:type="gramStart"/>
      <w:r>
        <w:t>;86</w:t>
      </w:r>
      <w:proofErr w:type="gramEnd"/>
      <w:r>
        <w:t>(31):2166-2170.</w:t>
      </w:r>
      <w:r w:rsidR="00C56BA3">
        <w:t xml:space="preserve">  Accessed May 23, 2019.</w:t>
      </w:r>
    </w:p>
    <w:p w:rsidR="00E5703D" w:rsidRDefault="00E5703D" w:rsidP="00393F4D">
      <w:pPr>
        <w:pStyle w:val="ListParagraph"/>
        <w:numPr>
          <w:ilvl w:val="3"/>
          <w:numId w:val="22"/>
        </w:numPr>
        <w:ind w:left="360"/>
      </w:pPr>
      <w:proofErr w:type="spellStart"/>
      <w:r>
        <w:t>Hao</w:t>
      </w:r>
      <w:proofErr w:type="spellEnd"/>
      <w:r>
        <w:t xml:space="preserve"> DJ, Liu TJ, Wu QN, He BR. The application of lumbar discography in the diagnosis and treatment of the </w:t>
      </w:r>
      <w:proofErr w:type="spellStart"/>
      <w:r>
        <w:t>discogenic</w:t>
      </w:r>
      <w:proofErr w:type="spellEnd"/>
      <w:r>
        <w:t xml:space="preserve"> low back pain. </w:t>
      </w:r>
      <w:proofErr w:type="spellStart"/>
      <w:r>
        <w:t>Zhonghua</w:t>
      </w:r>
      <w:proofErr w:type="spellEnd"/>
      <w:r>
        <w:t xml:space="preserve"> </w:t>
      </w:r>
      <w:proofErr w:type="spellStart"/>
      <w:r>
        <w:t>Wai</w:t>
      </w:r>
      <w:proofErr w:type="spellEnd"/>
      <w:r>
        <w:t xml:space="preserve"> </w:t>
      </w:r>
      <w:proofErr w:type="spellStart"/>
      <w:r>
        <w:t>Ke</w:t>
      </w:r>
      <w:proofErr w:type="spellEnd"/>
      <w:r>
        <w:t xml:space="preserve"> </w:t>
      </w:r>
      <w:proofErr w:type="spellStart"/>
      <w:r>
        <w:t>Za</w:t>
      </w:r>
      <w:proofErr w:type="spellEnd"/>
      <w:r>
        <w:t xml:space="preserve"> </w:t>
      </w:r>
      <w:proofErr w:type="spellStart"/>
      <w:r>
        <w:t>Zhi</w:t>
      </w:r>
      <w:proofErr w:type="spellEnd"/>
      <w:r>
        <w:t>. 2006</w:t>
      </w:r>
      <w:proofErr w:type="gramStart"/>
      <w:r>
        <w:t>;44</w:t>
      </w:r>
      <w:proofErr w:type="gramEnd"/>
      <w:r>
        <w:t>(24):1675-1677.</w:t>
      </w:r>
      <w:r w:rsidR="00115E5B">
        <w:t xml:space="preserve">  Accessed May 23, 2019.</w:t>
      </w:r>
    </w:p>
    <w:p w:rsidR="00E5703D" w:rsidRPr="00145808" w:rsidRDefault="00E5703D" w:rsidP="00393F4D">
      <w:pPr>
        <w:pStyle w:val="ListParagraph"/>
        <w:numPr>
          <w:ilvl w:val="3"/>
          <w:numId w:val="22"/>
        </w:numPr>
        <w:ind w:left="360"/>
      </w:pPr>
      <w:r>
        <w:t>Buenaventura RM, Shah RV, Patel V, et al. Systematic review of discography as a diagnostic test for spinal pain: An update. Pain Physician. 2007</w:t>
      </w:r>
      <w:proofErr w:type="gramStart"/>
      <w:r>
        <w:t>;10</w:t>
      </w:r>
      <w:proofErr w:type="gramEnd"/>
      <w:r>
        <w:t>(1):147-164.</w:t>
      </w:r>
    </w:p>
    <w:p w:rsidR="0098327E" w:rsidRDefault="0098327E" w:rsidP="0098327E">
      <w:pPr>
        <w:pStyle w:val="ListParagraph"/>
        <w:numPr>
          <w:ilvl w:val="3"/>
          <w:numId w:val="22"/>
        </w:numPr>
        <w:ind w:left="360"/>
      </w:pPr>
      <w:proofErr w:type="spellStart"/>
      <w:r>
        <w:t>Carragee</w:t>
      </w:r>
      <w:proofErr w:type="spellEnd"/>
      <w:r>
        <w:t xml:space="preserve"> EJ, Chen Y, Tanner CM et al. Provocative discography in patients after limited lumbar discectomy: A controlled, randomized study of pain response in symptomatic and asymptomatic subjects. </w:t>
      </w:r>
      <w:hyperlink r:id="rId15" w:tooltip="Spine." w:history="1">
        <w:r w:rsidRPr="001F3956">
          <w:t>Spine (</w:t>
        </w:r>
        <w:proofErr w:type="spellStart"/>
        <w:r w:rsidRPr="001F3956">
          <w:t>Phila</w:t>
        </w:r>
        <w:proofErr w:type="spellEnd"/>
        <w:r w:rsidRPr="001F3956">
          <w:t xml:space="preserve"> Pa 1976).</w:t>
        </w:r>
      </w:hyperlink>
      <w:r w:rsidRPr="001F3956">
        <w:t xml:space="preserve"> 2000 Dec 1</w:t>
      </w:r>
      <w:proofErr w:type="gramStart"/>
      <w:r w:rsidRPr="001F3956">
        <w:t>;25</w:t>
      </w:r>
      <w:proofErr w:type="gramEnd"/>
      <w:r w:rsidRPr="001F3956">
        <w:t>(23):3065-71</w:t>
      </w:r>
      <w:r>
        <w:t>.</w:t>
      </w:r>
    </w:p>
    <w:p w:rsidR="00E5703D" w:rsidRDefault="00E5703D" w:rsidP="00393F4D">
      <w:pPr>
        <w:pStyle w:val="ListParagraph"/>
        <w:numPr>
          <w:ilvl w:val="3"/>
          <w:numId w:val="22"/>
        </w:numPr>
        <w:ind w:left="360"/>
      </w:pPr>
      <w:r w:rsidRPr="00680272">
        <w:t xml:space="preserve">Resnick DK, </w:t>
      </w:r>
      <w:proofErr w:type="spellStart"/>
      <w:r w:rsidRPr="00680272">
        <w:t>Choudhri</w:t>
      </w:r>
      <w:proofErr w:type="spellEnd"/>
      <w:r w:rsidRPr="00680272">
        <w:t xml:space="preserve"> TF, Dailey AT, et al; American Association of Neurological Surgeons/Congress of Neurological Surgeons. Guidelines for the performance of fusion procedures for degenerative disease of the lumbar spine. Part 6: Magnetic resonance imaging and discography for patient selection for lumbar fusion. J </w:t>
      </w:r>
      <w:proofErr w:type="spellStart"/>
      <w:r w:rsidRPr="00680272">
        <w:t>Neurosurg</w:t>
      </w:r>
      <w:proofErr w:type="spellEnd"/>
      <w:r w:rsidRPr="00680272">
        <w:t xml:space="preserve"> Spine. 2005</w:t>
      </w:r>
      <w:proofErr w:type="gramStart"/>
      <w:r w:rsidRPr="00680272">
        <w:t>;2</w:t>
      </w:r>
      <w:proofErr w:type="gramEnd"/>
      <w:r w:rsidRPr="00680272">
        <w:t>(6):662-669.</w:t>
      </w:r>
    </w:p>
    <w:p w:rsidR="00E5703D" w:rsidRDefault="00E5703D" w:rsidP="00B518F9">
      <w:pPr>
        <w:pStyle w:val="ListParagraph"/>
        <w:numPr>
          <w:ilvl w:val="3"/>
          <w:numId w:val="22"/>
        </w:numPr>
        <w:ind w:left="360"/>
      </w:pPr>
      <w:r>
        <w:t xml:space="preserve">Hsu PS, </w:t>
      </w:r>
      <w:proofErr w:type="spellStart"/>
      <w:r>
        <w:t>Armon</w:t>
      </w:r>
      <w:proofErr w:type="spellEnd"/>
      <w:r>
        <w:t xml:space="preserve"> C, Levin K. Acute lumbosacral radiculopathy: pathophysiology, clinical features, and diagnosis. </w:t>
      </w:r>
      <w:proofErr w:type="spellStart"/>
      <w:r>
        <w:t>Shefner</w:t>
      </w:r>
      <w:proofErr w:type="spellEnd"/>
      <w:r>
        <w:t xml:space="preserve"> JM, </w:t>
      </w:r>
      <w:proofErr w:type="spellStart"/>
      <w:r>
        <w:t>Dashe</w:t>
      </w:r>
      <w:proofErr w:type="spellEnd"/>
      <w:r>
        <w:t xml:space="preserve"> JF (Eds.). In: </w:t>
      </w:r>
      <w:proofErr w:type="spellStart"/>
      <w:r>
        <w:t>UpToDate</w:t>
      </w:r>
      <w:proofErr w:type="spellEnd"/>
      <w:r>
        <w:t xml:space="preserve">, Waltham, MA. </w:t>
      </w:r>
      <w:r w:rsidR="00CC7B51">
        <w:t xml:space="preserve">May </w:t>
      </w:r>
      <w:r>
        <w:t>201</w:t>
      </w:r>
      <w:r w:rsidR="00CC7B51">
        <w:t>7</w:t>
      </w:r>
      <w:r>
        <w:t xml:space="preserve">. Accessed </w:t>
      </w:r>
      <w:r w:rsidR="00117B74">
        <w:t>May 23, 2019</w:t>
      </w:r>
      <w:r w:rsidR="0042528B">
        <w:t>.</w:t>
      </w:r>
    </w:p>
    <w:p w:rsidR="00E5703D" w:rsidRDefault="00E5703D">
      <w:pPr>
        <w:pStyle w:val="ListParagraph"/>
        <w:numPr>
          <w:ilvl w:val="3"/>
          <w:numId w:val="22"/>
        </w:numPr>
        <w:ind w:left="360"/>
      </w:pPr>
      <w:proofErr w:type="spellStart"/>
      <w:r>
        <w:t>Manchikanti</w:t>
      </w:r>
      <w:proofErr w:type="spellEnd"/>
      <w:r>
        <w:t xml:space="preserve"> L, Abdi S, </w:t>
      </w:r>
      <w:proofErr w:type="spellStart"/>
      <w:r>
        <w:t>Atluri</w:t>
      </w:r>
      <w:proofErr w:type="spellEnd"/>
      <w:r>
        <w:t xml:space="preserve"> S, et al</w:t>
      </w:r>
      <w:r w:rsidR="00A4582B">
        <w:t>.</w:t>
      </w:r>
      <w:r>
        <w:t xml:space="preserve"> American Society of Interventional Pain Physicians. An update of comprehensive evidence-based guidelines for interventional techniques in spinal pain. Part II: guidance and recommendations. Pain Physician 2013; 16: S49-S283. </w:t>
      </w:r>
    </w:p>
    <w:p w:rsidR="00E5703D" w:rsidRDefault="00E5703D" w:rsidP="00F33D10">
      <w:pPr>
        <w:pStyle w:val="ListParagraph"/>
        <w:numPr>
          <w:ilvl w:val="3"/>
          <w:numId w:val="22"/>
        </w:numPr>
        <w:ind w:left="360"/>
      </w:pPr>
      <w:r>
        <w:t xml:space="preserve">Singh V, </w:t>
      </w:r>
      <w:proofErr w:type="spellStart"/>
      <w:r>
        <w:t>Manchikanti</w:t>
      </w:r>
      <w:proofErr w:type="spellEnd"/>
      <w:r>
        <w:t xml:space="preserve"> L, Shah RV, Dunbar EE, Glaser SE. Systematic review of thoracic discography as a diagnostic test for chronic spinal pain. Pain Physician. 2008 Sep-Oct; 11(5): 631-42.</w:t>
      </w:r>
    </w:p>
    <w:p w:rsidR="00E5703D" w:rsidRDefault="00E5703D" w:rsidP="00F33D10">
      <w:pPr>
        <w:pStyle w:val="ListParagraph"/>
        <w:numPr>
          <w:ilvl w:val="3"/>
          <w:numId w:val="22"/>
        </w:numPr>
        <w:ind w:left="360"/>
      </w:pPr>
      <w:proofErr w:type="spellStart"/>
      <w:r>
        <w:t>Manchikanti</w:t>
      </w:r>
      <w:proofErr w:type="spellEnd"/>
      <w:r>
        <w:t xml:space="preserve"> L, Dunbar EE, </w:t>
      </w:r>
      <w:proofErr w:type="spellStart"/>
      <w:r>
        <w:t>Wargo</w:t>
      </w:r>
      <w:proofErr w:type="spellEnd"/>
      <w:r>
        <w:t xml:space="preserve"> BW, et al. Systematic review of cervical discography as a diagnostic test. Pain Physician. 2009 Mar-Apr; 12)2): 305-21.</w:t>
      </w:r>
    </w:p>
    <w:p w:rsidR="00A73F67" w:rsidRDefault="00A73F67" w:rsidP="00A73F67">
      <w:pPr>
        <w:pStyle w:val="ListParagraph"/>
        <w:numPr>
          <w:ilvl w:val="3"/>
          <w:numId w:val="22"/>
        </w:numPr>
        <w:ind w:left="360"/>
      </w:pPr>
      <w:r>
        <w:t xml:space="preserve">Wang H, Li Z, Zhang C, et al. Correlation between high-intensity zone on MRI and discography in patients with low back pain. </w:t>
      </w:r>
      <w:r w:rsidRPr="00A73F67">
        <w:t>Medicine (Baltimore). 2017 Jul</w:t>
      </w:r>
      <w:proofErr w:type="gramStart"/>
      <w:r w:rsidRPr="00A73F67">
        <w:t>;96</w:t>
      </w:r>
      <w:proofErr w:type="gramEnd"/>
      <w:r w:rsidRPr="00A73F67">
        <w:t xml:space="preserve">(30):e7222. </w:t>
      </w:r>
      <w:proofErr w:type="spellStart"/>
      <w:proofErr w:type="gramStart"/>
      <w:r w:rsidRPr="00A73F67">
        <w:t>doi</w:t>
      </w:r>
      <w:proofErr w:type="spellEnd"/>
      <w:proofErr w:type="gramEnd"/>
      <w:r w:rsidRPr="00A73F67">
        <w:t>: 10.1097/MD.0000000000007222.</w:t>
      </w:r>
    </w:p>
    <w:p w:rsidR="00770A11" w:rsidRDefault="00770A11" w:rsidP="00A73F67">
      <w:pPr>
        <w:pStyle w:val="ListParagraph"/>
        <w:numPr>
          <w:ilvl w:val="3"/>
          <w:numId w:val="22"/>
        </w:numPr>
        <w:ind w:left="360"/>
      </w:pPr>
      <w:proofErr w:type="spellStart"/>
      <w:r>
        <w:t>Kallewaard</w:t>
      </w:r>
      <w:proofErr w:type="spellEnd"/>
      <w:r>
        <w:t xml:space="preserve"> JW, </w:t>
      </w:r>
      <w:proofErr w:type="spellStart"/>
      <w:r>
        <w:t>Guerts</w:t>
      </w:r>
      <w:proofErr w:type="spellEnd"/>
      <w:r>
        <w:t xml:space="preserve"> JW, </w:t>
      </w:r>
      <w:proofErr w:type="spellStart"/>
      <w:r>
        <w:t>Terheggen</w:t>
      </w:r>
      <w:proofErr w:type="spellEnd"/>
      <w:r>
        <w:t xml:space="preserve"> M.</w:t>
      </w:r>
      <w:r w:rsidR="00115E5B">
        <w:t xml:space="preserve"> </w:t>
      </w:r>
      <w:r>
        <w:t xml:space="preserve"> No transfer of pressure to adjacent discs during human low-pressure controlled discography: a prospective clinical study. </w:t>
      </w:r>
      <w:hyperlink r:id="rId16" w:tooltip="Pain medicine (Malden, Mass.)." w:history="1">
        <w:r w:rsidRPr="0044545B">
          <w:t>Pain Med.</w:t>
        </w:r>
      </w:hyperlink>
      <w:r w:rsidRPr="00770A11">
        <w:t xml:space="preserve"> </w:t>
      </w:r>
      <w:r w:rsidR="002F6841" w:rsidRPr="00770A11">
        <w:t>201</w:t>
      </w:r>
      <w:r w:rsidR="002F6841">
        <w:t>8</w:t>
      </w:r>
      <w:r w:rsidR="002F6841" w:rsidRPr="00770A11">
        <w:t xml:space="preserve"> </w:t>
      </w:r>
      <w:r w:rsidR="002F6841">
        <w:t>Jan</w:t>
      </w:r>
      <w:r w:rsidR="002F6841" w:rsidRPr="00770A11">
        <w:t xml:space="preserve"> </w:t>
      </w:r>
      <w:r w:rsidRPr="00770A11">
        <w:t>1</w:t>
      </w:r>
      <w:r w:rsidR="002F6841">
        <w:t>:19(1):29-39</w:t>
      </w:r>
      <w:r w:rsidR="00115E5B">
        <w:t>.</w:t>
      </w:r>
    </w:p>
    <w:p w:rsidR="006F4040" w:rsidRDefault="006F4040" w:rsidP="00A73F67">
      <w:pPr>
        <w:pStyle w:val="ListParagraph"/>
        <w:numPr>
          <w:ilvl w:val="3"/>
          <w:numId w:val="22"/>
        </w:numPr>
        <w:ind w:left="360"/>
      </w:pPr>
      <w:r>
        <w:lastRenderedPageBreak/>
        <w:t>Hayes. Health Technology Brief. The Clinical Utility of Lumbar Discography for Assessing Low Back Pain: Impact on Patient Management and Health Outcomes. Published September 7, 2017.</w:t>
      </w:r>
      <w:r w:rsidR="007C44A6">
        <w:t xml:space="preserve">  Accessed May 23, 2019.</w:t>
      </w:r>
    </w:p>
    <w:p w:rsidR="00FF183A" w:rsidRDefault="00FF183A" w:rsidP="00A73F67">
      <w:pPr>
        <w:pStyle w:val="ListParagraph"/>
        <w:numPr>
          <w:ilvl w:val="3"/>
          <w:numId w:val="22"/>
        </w:numPr>
        <w:ind w:left="360"/>
      </w:pPr>
      <w:r w:rsidRPr="00FF183A">
        <w:t xml:space="preserve">Gruver C, Guthmiller KB. Provocative Discography. [Updated 2017 Nov 8]. In: </w:t>
      </w:r>
      <w:proofErr w:type="spellStart"/>
      <w:r w:rsidRPr="00FF183A">
        <w:t>StatPearls</w:t>
      </w:r>
      <w:proofErr w:type="spellEnd"/>
      <w:r w:rsidRPr="00FF183A">
        <w:t xml:space="preserve"> [Internet]. Treasure Island (FL): </w:t>
      </w:r>
      <w:proofErr w:type="spellStart"/>
      <w:r w:rsidRPr="00FF183A">
        <w:t>StatPearls</w:t>
      </w:r>
      <w:proofErr w:type="spellEnd"/>
      <w:r w:rsidRPr="00FF183A">
        <w:t xml:space="preserve"> Publishing; 2018 Jan-. Available from: </w:t>
      </w:r>
      <w:hyperlink r:id="rId17" w:history="1">
        <w:r w:rsidR="00A4582B" w:rsidRPr="00737756">
          <w:rPr>
            <w:rStyle w:val="Hyperlink"/>
          </w:rPr>
          <w:t>https://www.ncbi.nlm.nih.gov/books/NBK470389/</w:t>
        </w:r>
      </w:hyperlink>
      <w:r w:rsidR="00117B74">
        <w:rPr>
          <w:rStyle w:val="Hyperlink"/>
        </w:rPr>
        <w:t xml:space="preserve">  Updated March 19, 2019.</w:t>
      </w:r>
    </w:p>
    <w:p w:rsidR="00A4582B" w:rsidRDefault="00A4582B" w:rsidP="00A73F67">
      <w:pPr>
        <w:pStyle w:val="ListParagraph"/>
        <w:numPr>
          <w:ilvl w:val="3"/>
          <w:numId w:val="22"/>
        </w:numPr>
        <w:ind w:left="360"/>
      </w:pPr>
      <w:proofErr w:type="spellStart"/>
      <w:r>
        <w:t>Manchikanti</w:t>
      </w:r>
      <w:proofErr w:type="spellEnd"/>
      <w:r>
        <w:t xml:space="preserve"> L, </w:t>
      </w:r>
      <w:proofErr w:type="spellStart"/>
      <w:r>
        <w:t>Soin</w:t>
      </w:r>
      <w:proofErr w:type="spellEnd"/>
      <w:r>
        <w:t xml:space="preserve"> A, Benyamin RM, et al. An Update of the Systematic Appraisal of the Accuracy and Utility of Discography in Chronic Spinal Pain. Pain Physician. 2018 Mar; 21(2):91-110. </w:t>
      </w:r>
      <w:r w:rsidR="002F6841">
        <w:t xml:space="preserve"> Accessed </w:t>
      </w:r>
      <w:r w:rsidR="007C44A6">
        <w:t>May 23, 2019</w:t>
      </w:r>
      <w:r w:rsidR="002F6841">
        <w:t>.</w:t>
      </w:r>
    </w:p>
    <w:p w:rsidR="00E5703D" w:rsidRDefault="00E5703D" w:rsidP="00963062"/>
    <w:p w:rsidR="00E5703D" w:rsidRPr="00DB7073" w:rsidRDefault="00E5703D" w:rsidP="00671D02">
      <w:pPr>
        <w:rPr>
          <w:rFonts w:ascii="Times New Roman Bold" w:hAnsi="Times New Roman Bold"/>
          <w:b/>
          <w:sz w:val="22"/>
          <w:szCs w:val="22"/>
          <w:u w:val="single"/>
        </w:rPr>
      </w:pPr>
      <w:bookmarkStart w:id="3" w:name="Important_Reminder"/>
      <w:r>
        <w:rPr>
          <w:rFonts w:ascii="Times New Roman Bold" w:hAnsi="Times New Roman Bold"/>
          <w:b/>
          <w:bCs/>
          <w:sz w:val="22"/>
          <w:szCs w:val="22"/>
          <w:u w:val="single"/>
        </w:rPr>
        <w:t>Important R</w:t>
      </w:r>
      <w:r w:rsidRPr="00DB7073">
        <w:rPr>
          <w:rFonts w:ascii="Times New Roman Bold" w:hAnsi="Times New Roman Bold"/>
          <w:b/>
          <w:bCs/>
          <w:sz w:val="22"/>
          <w:szCs w:val="22"/>
          <w:u w:val="single"/>
        </w:rPr>
        <w:t>eminder</w:t>
      </w:r>
      <w:bookmarkEnd w:id="3"/>
    </w:p>
    <w:p w:rsidR="00E5703D" w:rsidRPr="00DD6ADB" w:rsidRDefault="00E5703D" w:rsidP="00671D02">
      <w:pPr>
        <w:rPr>
          <w:sz w:val="22"/>
          <w:szCs w:val="22"/>
        </w:rPr>
      </w:pPr>
      <w:r w:rsidRPr="00DD6ADB">
        <w:rPr>
          <w:sz w:val="22"/>
          <w:szCs w:val="22"/>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DD6ADB">
        <w:rPr>
          <w:iCs/>
          <w:sz w:val="22"/>
          <w:szCs w:val="22"/>
        </w:rPr>
        <w:t>The Health Plan</w:t>
      </w:r>
      <w:r w:rsidRPr="00DD6ADB">
        <w:rPr>
          <w:sz w:val="22"/>
          <w:szCs w:val="22"/>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rsidR="00E5703D" w:rsidRPr="00DD6ADB" w:rsidRDefault="00E5703D" w:rsidP="00671D02">
      <w:pPr>
        <w:rPr>
          <w:sz w:val="22"/>
          <w:szCs w:val="22"/>
        </w:rPr>
      </w:pPr>
    </w:p>
    <w:p w:rsidR="00E5703D" w:rsidRPr="00DD6ADB" w:rsidRDefault="00E5703D" w:rsidP="00671D02">
      <w:pPr>
        <w:rPr>
          <w:sz w:val="22"/>
          <w:szCs w:val="22"/>
        </w:rPr>
      </w:pPr>
      <w:r w:rsidRPr="00DD6ADB">
        <w:rPr>
          <w:sz w:val="22"/>
          <w:szCs w:val="22"/>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rsidR="00E5703D" w:rsidRPr="00DD6ADB" w:rsidRDefault="00E5703D" w:rsidP="00671D02">
      <w:pPr>
        <w:rPr>
          <w:sz w:val="22"/>
          <w:szCs w:val="22"/>
        </w:rPr>
      </w:pPr>
    </w:p>
    <w:p w:rsidR="00E5703D" w:rsidRPr="00DD6ADB" w:rsidRDefault="00E5703D" w:rsidP="00671D02">
      <w:pPr>
        <w:rPr>
          <w:color w:val="002868"/>
          <w:sz w:val="22"/>
          <w:szCs w:val="22"/>
        </w:rPr>
      </w:pPr>
      <w:r w:rsidRPr="00DD6ADB">
        <w:rPr>
          <w:sz w:val="22"/>
          <w:szCs w:val="22"/>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rsidR="00E5703D" w:rsidRPr="00DD6ADB" w:rsidRDefault="00E5703D" w:rsidP="00671D02">
      <w:pPr>
        <w:rPr>
          <w:sz w:val="22"/>
          <w:szCs w:val="22"/>
        </w:rPr>
      </w:pPr>
    </w:p>
    <w:p w:rsidR="00E5703D" w:rsidRPr="00DD6ADB" w:rsidRDefault="00E5703D" w:rsidP="00671D02">
      <w:r w:rsidRPr="00DD6ADB">
        <w:rPr>
          <w:sz w:val="22"/>
          <w:szCs w:val="22"/>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rsidR="00E5703D" w:rsidRPr="00DD6ADB" w:rsidRDefault="00E5703D" w:rsidP="00671D02">
      <w:pPr>
        <w:rPr>
          <w:sz w:val="22"/>
          <w:szCs w:val="22"/>
        </w:rPr>
      </w:pPr>
    </w:p>
    <w:p w:rsidR="00E5703D" w:rsidRPr="00DD6ADB" w:rsidRDefault="00E5703D" w:rsidP="00671D02">
      <w:pPr>
        <w:rPr>
          <w:sz w:val="22"/>
          <w:szCs w:val="22"/>
        </w:rPr>
      </w:pPr>
      <w:r w:rsidRPr="00DD6ADB">
        <w:rPr>
          <w:sz w:val="22"/>
          <w:szCs w:val="22"/>
        </w:rPr>
        <w:t>Providers referred to in this clinical policy are independent contractors who exercise independent judgment and over whom the Health Plan has no control or right of control.  Providers are not agents or employees of the Health Plan.</w:t>
      </w:r>
    </w:p>
    <w:p w:rsidR="00E5703D" w:rsidRPr="00DD6ADB" w:rsidRDefault="00E5703D" w:rsidP="00671D02">
      <w:pPr>
        <w:rPr>
          <w:sz w:val="22"/>
          <w:szCs w:val="22"/>
        </w:rPr>
      </w:pPr>
    </w:p>
    <w:p w:rsidR="00E5703D" w:rsidRPr="00DD6ADB" w:rsidRDefault="00E5703D" w:rsidP="00671D02">
      <w:pPr>
        <w:rPr>
          <w:sz w:val="22"/>
          <w:szCs w:val="22"/>
        </w:rPr>
      </w:pPr>
      <w:r w:rsidRPr="00DD6ADB">
        <w:rPr>
          <w:sz w:val="22"/>
          <w:szCs w:val="22"/>
        </w:rPr>
        <w:t xml:space="preserve">This clinical policy is the property of </w:t>
      </w:r>
      <w:r w:rsidRPr="00DD6ADB">
        <w:rPr>
          <w:iCs/>
          <w:sz w:val="22"/>
          <w:szCs w:val="22"/>
        </w:rPr>
        <w:t>the Health Plan</w:t>
      </w:r>
      <w:r w:rsidRPr="00DD6ADB">
        <w:rPr>
          <w:sz w:val="22"/>
          <w:szCs w:val="22"/>
        </w:rPr>
        <w:t xml:space="preserve">. Unauthorized copying, use, and distribution of this clinical policy or any information contained herein are strictly prohibited.  Providers, members and their </w:t>
      </w:r>
      <w:r w:rsidRPr="00DD6ADB">
        <w:rPr>
          <w:sz w:val="22"/>
          <w:szCs w:val="22"/>
        </w:rPr>
        <w:lastRenderedPageBreak/>
        <w:t xml:space="preserve">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rsidR="00E5703D" w:rsidRPr="00DD6ADB" w:rsidRDefault="00E5703D" w:rsidP="00671D02">
      <w:pPr>
        <w:autoSpaceDE w:val="0"/>
        <w:autoSpaceDN w:val="0"/>
        <w:adjustRightInd w:val="0"/>
        <w:rPr>
          <w:color w:val="000000"/>
          <w:sz w:val="22"/>
          <w:szCs w:val="22"/>
        </w:rPr>
      </w:pPr>
    </w:p>
    <w:p w:rsidR="00E5703D" w:rsidRPr="00DD6ADB" w:rsidRDefault="00E5703D" w:rsidP="00671D02">
      <w:pPr>
        <w:autoSpaceDE w:val="0"/>
        <w:autoSpaceDN w:val="0"/>
        <w:adjustRightInd w:val="0"/>
        <w:rPr>
          <w:color w:val="000000"/>
          <w:sz w:val="22"/>
          <w:szCs w:val="22"/>
        </w:rPr>
      </w:pPr>
      <w:r w:rsidRPr="00DD6ADB">
        <w:rPr>
          <w:b/>
          <w:color w:val="000000"/>
          <w:sz w:val="22"/>
          <w:szCs w:val="22"/>
        </w:rPr>
        <w:t>Note: For Medicaid members</w:t>
      </w:r>
      <w:r w:rsidRPr="00DD6ADB">
        <w:rPr>
          <w:color w:val="000000"/>
          <w:sz w:val="22"/>
          <w:szCs w:val="22"/>
        </w:rPr>
        <w:t>, when state Medicaid coverage provisions conflict with the coverage provisions in this clinical policy, state Medicaid coverage provisions take precedence. Please refer to the state Medicaid manual for any coverage provisions pertaining to this clinical policy.</w:t>
      </w:r>
    </w:p>
    <w:p w:rsidR="00E5703D" w:rsidRPr="00DD6ADB" w:rsidRDefault="00E5703D" w:rsidP="00671D02">
      <w:pPr>
        <w:rPr>
          <w:sz w:val="22"/>
          <w:szCs w:val="22"/>
        </w:rPr>
      </w:pPr>
    </w:p>
    <w:p w:rsidR="00E5703D" w:rsidRPr="00DD6ADB" w:rsidRDefault="00E5703D" w:rsidP="00671D02">
      <w:pPr>
        <w:autoSpaceDE w:val="0"/>
        <w:autoSpaceDN w:val="0"/>
        <w:adjustRightInd w:val="0"/>
        <w:rPr>
          <w:color w:val="000000"/>
          <w:sz w:val="22"/>
        </w:rPr>
      </w:pPr>
      <w:r w:rsidRPr="00DD6ADB">
        <w:rPr>
          <w:b/>
          <w:bCs/>
          <w:color w:val="000000"/>
          <w:sz w:val="22"/>
          <w:szCs w:val="22"/>
        </w:rPr>
        <w:t xml:space="preserve">Note: For Medicare members, </w:t>
      </w:r>
      <w:r w:rsidRPr="00DD6ADB">
        <w:rPr>
          <w:color w:val="000000"/>
          <w:sz w:val="22"/>
          <w:szCs w:val="22"/>
        </w:rPr>
        <w:t xml:space="preserve">to ensure consistency with the Medicare National Coverage Determinations (NCD) and Local Coverage Determinations (LCD), all applicable NCDs and LCDs should be reviewed </w:t>
      </w:r>
      <w:r w:rsidRPr="00DD6ADB">
        <w:rPr>
          <w:color w:val="000000"/>
          <w:sz w:val="22"/>
          <w:szCs w:val="22"/>
          <w:u w:val="single"/>
        </w:rPr>
        <w:t>prior to</w:t>
      </w:r>
      <w:r w:rsidRPr="00DD6ADB">
        <w:rPr>
          <w:color w:val="000000"/>
          <w:sz w:val="22"/>
          <w:szCs w:val="22"/>
        </w:rPr>
        <w:t xml:space="preserve"> applying the criteria set forth in this clinical policy. Refer to the CMS website at </w:t>
      </w:r>
      <w:hyperlink r:id="rId18" w:history="1">
        <w:r w:rsidRPr="00DD6ADB">
          <w:rPr>
            <w:color w:val="000000"/>
            <w:sz w:val="22"/>
            <w:szCs w:val="22"/>
            <w:u w:val="single"/>
          </w:rPr>
          <w:t>http://www.cms.gov</w:t>
        </w:r>
      </w:hyperlink>
      <w:r w:rsidRPr="00DD6ADB">
        <w:rPr>
          <w:color w:val="000000"/>
          <w:sz w:val="22"/>
          <w:szCs w:val="22"/>
        </w:rPr>
        <w:t xml:space="preserve"> for additional information.</w:t>
      </w:r>
      <w:r w:rsidRPr="00DD6ADB">
        <w:rPr>
          <w:color w:val="000000"/>
          <w:sz w:val="22"/>
        </w:rPr>
        <w:t xml:space="preserve"> </w:t>
      </w:r>
    </w:p>
    <w:p w:rsidR="00E5703D" w:rsidRPr="00DD6ADB" w:rsidRDefault="00E5703D" w:rsidP="00671D02">
      <w:pPr>
        <w:rPr>
          <w:iCs/>
        </w:rPr>
      </w:pPr>
    </w:p>
    <w:p w:rsidR="00E5703D" w:rsidRPr="00DD6ADB" w:rsidRDefault="00E5703D" w:rsidP="00671D02">
      <w:pPr>
        <w:rPr>
          <w:iCs/>
          <w:sz w:val="22"/>
        </w:rPr>
      </w:pPr>
      <w:r w:rsidRPr="00DB7073">
        <w:rPr>
          <w:iCs/>
          <w:sz w:val="22"/>
        </w:rPr>
        <w:t>©2016</w:t>
      </w:r>
      <w:r w:rsidRPr="00DD6ADB">
        <w:rPr>
          <w:iCs/>
          <w:sz w:val="22"/>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DD6ADB">
        <w:rPr>
          <w:iCs/>
          <w:sz w:val="22"/>
          <w:vertAlign w:val="superscript"/>
        </w:rPr>
        <w:t>®</w:t>
      </w:r>
      <w:r w:rsidRPr="00DD6ADB">
        <w:rPr>
          <w:iCs/>
          <w:sz w:val="22"/>
        </w:rPr>
        <w:t xml:space="preserve"> and Centene Corporation</w:t>
      </w:r>
      <w:r w:rsidRPr="00DD6ADB">
        <w:rPr>
          <w:iCs/>
          <w:sz w:val="22"/>
          <w:vertAlign w:val="superscript"/>
        </w:rPr>
        <w:t>®</w:t>
      </w:r>
      <w:r w:rsidRPr="00DD6ADB">
        <w:rPr>
          <w:iCs/>
          <w:sz w:val="22"/>
        </w:rPr>
        <w:t xml:space="preserve"> are registered trademarks exclusively owned by Centene Corporation.</w:t>
      </w:r>
    </w:p>
    <w:p w:rsidR="00E5703D" w:rsidRDefault="00E5703D" w:rsidP="00AF5490"/>
    <w:sectPr w:rsidR="00E5703D"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706" w:rsidRDefault="00527706">
      <w:r>
        <w:separator/>
      </w:r>
    </w:p>
  </w:endnote>
  <w:endnote w:type="continuationSeparator" w:id="0">
    <w:p w:rsidR="00527706" w:rsidRDefault="0052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03D" w:rsidRPr="00D574CA" w:rsidRDefault="00E5703D" w:rsidP="00D574CA">
    <w:pPr>
      <w:pStyle w:val="Footer"/>
      <w:jc w:val="center"/>
    </w:pPr>
    <w:r>
      <w:t xml:space="preserve">Page </w:t>
    </w:r>
    <w:r>
      <w:rPr>
        <w:b/>
        <w:bCs/>
      </w:rPr>
      <w:fldChar w:fldCharType="begin"/>
    </w:r>
    <w:r>
      <w:rPr>
        <w:b/>
        <w:bCs/>
      </w:rPr>
      <w:instrText xml:space="preserve"> PAGE </w:instrText>
    </w:r>
    <w:r>
      <w:rPr>
        <w:b/>
        <w:bCs/>
      </w:rPr>
      <w:fldChar w:fldCharType="separate"/>
    </w:r>
    <w:r w:rsidR="00151A84">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151A84">
      <w:rPr>
        <w:b/>
        <w:bCs/>
        <w:noProof/>
      </w:rPr>
      <w:t>5</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03D" w:rsidRDefault="00E5703D" w:rsidP="002C6AAB">
    <w:pPr>
      <w:pStyle w:val="Footer"/>
      <w:jc w:val="center"/>
    </w:pPr>
    <w:r>
      <w:t xml:space="preserve">Page </w:t>
    </w:r>
    <w:r w:rsidR="00EC0C40">
      <w:fldChar w:fldCharType="begin"/>
    </w:r>
    <w:r w:rsidR="00EC0C40">
      <w:instrText xml:space="preserve"> PAGE   \* MERGEFORMAT </w:instrText>
    </w:r>
    <w:r w:rsidR="00EC0C40">
      <w:fldChar w:fldCharType="separate"/>
    </w:r>
    <w:r w:rsidR="00151A84">
      <w:rPr>
        <w:noProof/>
      </w:rPr>
      <w:t>1</w:t>
    </w:r>
    <w:r w:rsidR="00EC0C40">
      <w:rPr>
        <w:noProof/>
      </w:rPr>
      <w:fldChar w:fldCharType="end"/>
    </w:r>
    <w:r>
      <w:t xml:space="preserve"> of </w:t>
    </w:r>
    <w:r w:rsidR="001D6105">
      <w:rPr>
        <w:noProof/>
      </w:rPr>
      <w:fldChar w:fldCharType="begin"/>
    </w:r>
    <w:r w:rsidR="001D6105">
      <w:rPr>
        <w:noProof/>
      </w:rPr>
      <w:instrText xml:space="preserve"> NUMPAGES   \* MERGEFORMAT </w:instrText>
    </w:r>
    <w:r w:rsidR="001D6105">
      <w:rPr>
        <w:noProof/>
      </w:rPr>
      <w:fldChar w:fldCharType="separate"/>
    </w:r>
    <w:r w:rsidR="00151A84">
      <w:rPr>
        <w:noProof/>
      </w:rPr>
      <w:t>5</w:t>
    </w:r>
    <w:r w:rsidR="001D61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706" w:rsidRDefault="00527706">
      <w:r>
        <w:separator/>
      </w:r>
    </w:p>
  </w:footnote>
  <w:footnote w:type="continuationSeparator" w:id="0">
    <w:p w:rsidR="00527706" w:rsidRDefault="00527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03D" w:rsidRPr="00B777AF" w:rsidRDefault="00E5703D"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sidR="00442E54">
      <w:rPr>
        <w:noProof/>
        <w:color w:val="00548C"/>
      </w:rPr>
      <w:drawing>
        <wp:inline distT="0" distB="0" distL="0" distR="0" wp14:anchorId="4F6D655D" wp14:editId="51343CDE">
          <wp:extent cx="902335" cy="237490"/>
          <wp:effectExtent l="0" t="0" r="0" b="0"/>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237490"/>
                  </a:xfrm>
                  <a:prstGeom prst="rect">
                    <a:avLst/>
                  </a:prstGeom>
                  <a:noFill/>
                  <a:ln>
                    <a:noFill/>
                  </a:ln>
                </pic:spPr>
              </pic:pic>
            </a:graphicData>
          </a:graphic>
        </wp:inline>
      </w:drawing>
    </w:r>
  </w:p>
  <w:p w:rsidR="00E5703D" w:rsidRPr="00B777AF" w:rsidRDefault="00E5703D" w:rsidP="00B777AF">
    <w:pPr>
      <w:rPr>
        <w:color w:val="00548C"/>
      </w:rPr>
    </w:pPr>
    <w:r>
      <w:rPr>
        <w:rFonts w:ascii="Times New Roman Bold" w:hAnsi="Times New Roman Bold"/>
        <w:b/>
        <w:bCs/>
        <w:color w:val="00548C"/>
      </w:rPr>
      <w:t>Discography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03D" w:rsidRDefault="00442E54" w:rsidP="00B777AF">
    <w:pPr>
      <w:pStyle w:val="Header"/>
      <w:jc w:val="right"/>
    </w:pPr>
    <w:r>
      <w:rPr>
        <w:noProof/>
      </w:rPr>
      <w:drawing>
        <wp:inline distT="0" distB="0" distL="0" distR="0" wp14:anchorId="32D6766E" wp14:editId="380C95D4">
          <wp:extent cx="1365885" cy="344170"/>
          <wp:effectExtent l="0" t="0" r="5715" b="0"/>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344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465EB"/>
    <w:multiLevelType w:val="hybridMultilevel"/>
    <w:tmpl w:val="89225A84"/>
    <w:lvl w:ilvl="0" w:tplc="97D07328">
      <w:start w:val="1"/>
      <w:numFmt w:val="decimal"/>
      <w:lvlText w:val="%1."/>
      <w:lvlJc w:val="left"/>
      <w:pPr>
        <w:ind w:left="1170" w:hanging="360"/>
      </w:pPr>
      <w:rPr>
        <w:rFonts w:cs="Times New Roman"/>
        <w:i w:val="0"/>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E7697"/>
    <w:multiLevelType w:val="hybridMultilevel"/>
    <w:tmpl w:val="96D8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1E0E99"/>
    <w:multiLevelType w:val="hybridMultilevel"/>
    <w:tmpl w:val="5FFA82B8"/>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hint="default"/>
        <w:sz w:val="2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946467A"/>
    <w:multiLevelType w:val="hybridMultilevel"/>
    <w:tmpl w:val="F2203728"/>
    <w:lvl w:ilvl="0" w:tplc="4366FA60">
      <w:start w:val="1"/>
      <w:numFmt w:val="upperRoman"/>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1E7A6984"/>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500B2"/>
    <w:multiLevelType w:val="hybridMultilevel"/>
    <w:tmpl w:val="CB5AF886"/>
    <w:lvl w:ilvl="0" w:tplc="6CC0606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6A01436"/>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75F0A"/>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51B1E"/>
    <w:multiLevelType w:val="hybridMultilevel"/>
    <w:tmpl w:val="B204E92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440" w:hanging="360"/>
      </w:pPr>
      <w:rPr>
        <w:rFonts w:cs="Times New Roman"/>
        <w:b/>
      </w:rPr>
    </w:lvl>
    <w:lvl w:ilvl="2" w:tplc="B0D8E88E">
      <w:start w:val="1"/>
      <w:numFmt w:val="decimal"/>
      <w:lvlText w:val="%3."/>
      <w:lvlJc w:val="left"/>
      <w:pPr>
        <w:ind w:left="2160" w:hanging="180"/>
      </w:pPr>
      <w:rPr>
        <w:rFonts w:cs="Times New Roman"/>
        <w:b/>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BA5F07"/>
    <w:multiLevelType w:val="hybridMultilevel"/>
    <w:tmpl w:val="C9647EEE"/>
    <w:lvl w:ilvl="0" w:tplc="97D07328">
      <w:start w:val="1"/>
      <w:numFmt w:val="decimal"/>
      <w:lvlText w:val="%1."/>
      <w:lvlJc w:val="left"/>
      <w:pPr>
        <w:ind w:left="1170" w:hanging="360"/>
      </w:pPr>
      <w:rPr>
        <w:rFonts w:cs="Times New Roman"/>
        <w:i w:val="0"/>
      </w:rPr>
    </w:lvl>
    <w:lvl w:ilvl="1" w:tplc="04090019">
      <w:start w:val="1"/>
      <w:numFmt w:val="lowerLetter"/>
      <w:lvlText w:val="%2."/>
      <w:lvlJc w:val="left"/>
      <w:pPr>
        <w:ind w:left="1440" w:hanging="360"/>
      </w:pPr>
      <w:rPr>
        <w:rFonts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497053"/>
    <w:multiLevelType w:val="hybridMultilevel"/>
    <w:tmpl w:val="BE262E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586063C"/>
    <w:multiLevelType w:val="hybridMultilevel"/>
    <w:tmpl w:val="04382478"/>
    <w:lvl w:ilvl="0" w:tplc="5C220D9E">
      <w:start w:val="1"/>
      <w:numFmt w:val="decimal"/>
      <w:lvlText w:val="%1."/>
      <w:lvlJc w:val="left"/>
      <w:pPr>
        <w:ind w:left="720" w:hanging="360"/>
      </w:pPr>
      <w:rPr>
        <w:rFonts w:cs="Times New Roman" w:hint="default"/>
        <w:b w:val="0"/>
      </w:rPr>
    </w:lvl>
    <w:lvl w:ilvl="1" w:tplc="6CC06064">
      <w:start w:val="1"/>
      <w:numFmt w:val="lowerLetter"/>
      <w:lvlText w:val="%2."/>
      <w:lvlJc w:val="left"/>
      <w:pPr>
        <w:ind w:left="1440" w:hanging="360"/>
      </w:pPr>
      <w:rPr>
        <w:rFont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4"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EBE345C"/>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365D0"/>
    <w:multiLevelType w:val="hybridMultilevel"/>
    <w:tmpl w:val="D55A7940"/>
    <w:lvl w:ilvl="0" w:tplc="F85C9D98">
      <w:start w:val="1"/>
      <w:numFmt w:val="upperLetter"/>
      <w:lvlText w:val="%1."/>
      <w:lvlJc w:val="left"/>
      <w:pPr>
        <w:ind w:left="720" w:hanging="360"/>
      </w:pPr>
      <w:rPr>
        <w:rFonts w:cs="Times New Roman"/>
        <w:b w:val="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50746AA"/>
    <w:multiLevelType w:val="hybridMultilevel"/>
    <w:tmpl w:val="7B9A472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ECB4957"/>
    <w:multiLevelType w:val="hybridMultilevel"/>
    <w:tmpl w:val="AC32AAE2"/>
    <w:lvl w:ilvl="0" w:tplc="299ED8A0">
      <w:start w:val="1"/>
      <w:numFmt w:val="upperLetter"/>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F600535"/>
    <w:multiLevelType w:val="hybridMultilevel"/>
    <w:tmpl w:val="0A5819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7D1E3D0A"/>
    <w:multiLevelType w:val="hybridMultilevel"/>
    <w:tmpl w:val="861A07CA"/>
    <w:lvl w:ilvl="0" w:tplc="6BAC0802">
      <w:start w:val="1"/>
      <w:numFmt w:val="upperRoman"/>
      <w:lvlText w:val="%1."/>
      <w:lvlJc w:val="left"/>
      <w:pPr>
        <w:ind w:left="720" w:hanging="360"/>
      </w:pPr>
      <w:rPr>
        <w:rFonts w:cs="Times New Roman" w:hint="default"/>
        <w:b/>
        <w:i w:val="0"/>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5D1063"/>
    <w:multiLevelType w:val="hybridMultilevel"/>
    <w:tmpl w:val="CB38D3D2"/>
    <w:lvl w:ilvl="0" w:tplc="04090015">
      <w:start w:val="1"/>
      <w:numFmt w:val="upperLetter"/>
      <w:lvlText w:val="%1."/>
      <w:lvlJc w:val="left"/>
      <w:pPr>
        <w:ind w:left="1170" w:hanging="360"/>
      </w:pPr>
      <w:rPr>
        <w:i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9"/>
  </w:num>
  <w:num w:numId="4">
    <w:abstractNumId w:val="13"/>
  </w:num>
  <w:num w:numId="5">
    <w:abstractNumId w:val="14"/>
  </w:num>
  <w:num w:numId="6">
    <w:abstractNumId w:val="19"/>
  </w:num>
  <w:num w:numId="7">
    <w:abstractNumId w:val="20"/>
  </w:num>
  <w:num w:numId="8">
    <w:abstractNumId w:val="2"/>
  </w:num>
  <w:num w:numId="9">
    <w:abstractNumId w:val="16"/>
  </w:num>
  <w:num w:numId="10">
    <w:abstractNumId w:val="7"/>
  </w:num>
  <w:num w:numId="11">
    <w:abstractNumId w:val="22"/>
  </w:num>
  <w:num w:numId="12">
    <w:abstractNumId w:val="12"/>
  </w:num>
  <w:num w:numId="13">
    <w:abstractNumId w:val="11"/>
  </w:num>
  <w:num w:numId="14">
    <w:abstractNumId w:val="5"/>
  </w:num>
  <w:num w:numId="15">
    <w:abstractNumId w:val="8"/>
  </w:num>
  <w:num w:numId="16">
    <w:abstractNumId w:val="21"/>
  </w:num>
  <w:num w:numId="17">
    <w:abstractNumId w:val="17"/>
  </w:num>
  <w:num w:numId="18">
    <w:abstractNumId w:val="15"/>
  </w:num>
  <w:num w:numId="19">
    <w:abstractNumId w:val="6"/>
  </w:num>
  <w:num w:numId="20">
    <w:abstractNumId w:val="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4"/>
  </w:num>
  <w:num w:numId="24">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3292B"/>
    <w:rsid w:val="00032D3F"/>
    <w:rsid w:val="000465DE"/>
    <w:rsid w:val="0004733E"/>
    <w:rsid w:val="00060509"/>
    <w:rsid w:val="00083740"/>
    <w:rsid w:val="00094136"/>
    <w:rsid w:val="000C3E44"/>
    <w:rsid w:val="000E6540"/>
    <w:rsid w:val="000F10C2"/>
    <w:rsid w:val="000F6696"/>
    <w:rsid w:val="001148A8"/>
    <w:rsid w:val="00115E5B"/>
    <w:rsid w:val="00117B74"/>
    <w:rsid w:val="0014316D"/>
    <w:rsid w:val="00145808"/>
    <w:rsid w:val="00151A84"/>
    <w:rsid w:val="00170B14"/>
    <w:rsid w:val="001818D7"/>
    <w:rsid w:val="00185104"/>
    <w:rsid w:val="001962BE"/>
    <w:rsid w:val="00196689"/>
    <w:rsid w:val="00196935"/>
    <w:rsid w:val="0019746F"/>
    <w:rsid w:val="001D0D34"/>
    <w:rsid w:val="001D6105"/>
    <w:rsid w:val="001D70D4"/>
    <w:rsid w:val="001E7D12"/>
    <w:rsid w:val="0020675F"/>
    <w:rsid w:val="00216E5B"/>
    <w:rsid w:val="00220736"/>
    <w:rsid w:val="00230FE4"/>
    <w:rsid w:val="00231F27"/>
    <w:rsid w:val="00233651"/>
    <w:rsid w:val="0023430C"/>
    <w:rsid w:val="00254020"/>
    <w:rsid w:val="0025452A"/>
    <w:rsid w:val="00267A07"/>
    <w:rsid w:val="00274B12"/>
    <w:rsid w:val="00285997"/>
    <w:rsid w:val="00287769"/>
    <w:rsid w:val="002A39EE"/>
    <w:rsid w:val="002B0582"/>
    <w:rsid w:val="002C6AAB"/>
    <w:rsid w:val="002D019A"/>
    <w:rsid w:val="002E0E79"/>
    <w:rsid w:val="002E48E7"/>
    <w:rsid w:val="002E7658"/>
    <w:rsid w:val="002F6841"/>
    <w:rsid w:val="003106FC"/>
    <w:rsid w:val="003140D6"/>
    <w:rsid w:val="00336E37"/>
    <w:rsid w:val="00350F22"/>
    <w:rsid w:val="00353240"/>
    <w:rsid w:val="00361917"/>
    <w:rsid w:val="00371C91"/>
    <w:rsid w:val="003840CC"/>
    <w:rsid w:val="00393F4D"/>
    <w:rsid w:val="003A5459"/>
    <w:rsid w:val="003B3CB0"/>
    <w:rsid w:val="003D7BE7"/>
    <w:rsid w:val="003F3D44"/>
    <w:rsid w:val="00410479"/>
    <w:rsid w:val="0042528B"/>
    <w:rsid w:val="00442E54"/>
    <w:rsid w:val="0044545B"/>
    <w:rsid w:val="00452149"/>
    <w:rsid w:val="00472C6C"/>
    <w:rsid w:val="004806F9"/>
    <w:rsid w:val="00480C09"/>
    <w:rsid w:val="00493710"/>
    <w:rsid w:val="00496BCF"/>
    <w:rsid w:val="00497AED"/>
    <w:rsid w:val="004B55A5"/>
    <w:rsid w:val="004E0B99"/>
    <w:rsid w:val="004F559A"/>
    <w:rsid w:val="004F6394"/>
    <w:rsid w:val="00505830"/>
    <w:rsid w:val="00507DC0"/>
    <w:rsid w:val="005103B8"/>
    <w:rsid w:val="005144C0"/>
    <w:rsid w:val="00527706"/>
    <w:rsid w:val="005423D4"/>
    <w:rsid w:val="005537B0"/>
    <w:rsid w:val="00563D69"/>
    <w:rsid w:val="005776FD"/>
    <w:rsid w:val="00583376"/>
    <w:rsid w:val="00591EE7"/>
    <w:rsid w:val="005A6268"/>
    <w:rsid w:val="005A7503"/>
    <w:rsid w:val="005B468A"/>
    <w:rsid w:val="005C17DF"/>
    <w:rsid w:val="005C3607"/>
    <w:rsid w:val="005D009F"/>
    <w:rsid w:val="005D5146"/>
    <w:rsid w:val="005D6347"/>
    <w:rsid w:val="005D7B81"/>
    <w:rsid w:val="005E117C"/>
    <w:rsid w:val="005E411E"/>
    <w:rsid w:val="00634642"/>
    <w:rsid w:val="006474BB"/>
    <w:rsid w:val="006664E9"/>
    <w:rsid w:val="00671D02"/>
    <w:rsid w:val="00680272"/>
    <w:rsid w:val="006B0026"/>
    <w:rsid w:val="006C25BD"/>
    <w:rsid w:val="006C74DF"/>
    <w:rsid w:val="006D582A"/>
    <w:rsid w:val="006F4040"/>
    <w:rsid w:val="006F4D70"/>
    <w:rsid w:val="007168C5"/>
    <w:rsid w:val="007333E7"/>
    <w:rsid w:val="00744250"/>
    <w:rsid w:val="0076436A"/>
    <w:rsid w:val="00770A11"/>
    <w:rsid w:val="007764CE"/>
    <w:rsid w:val="007A0BCC"/>
    <w:rsid w:val="007A6C1B"/>
    <w:rsid w:val="007B07AE"/>
    <w:rsid w:val="007B50D0"/>
    <w:rsid w:val="007C44A6"/>
    <w:rsid w:val="007D4801"/>
    <w:rsid w:val="007F1F19"/>
    <w:rsid w:val="00857C10"/>
    <w:rsid w:val="00866EE9"/>
    <w:rsid w:val="00875924"/>
    <w:rsid w:val="00877EC7"/>
    <w:rsid w:val="00881EBE"/>
    <w:rsid w:val="00896E94"/>
    <w:rsid w:val="008B0705"/>
    <w:rsid w:val="008C6B3A"/>
    <w:rsid w:val="008F03BB"/>
    <w:rsid w:val="00902C9B"/>
    <w:rsid w:val="009135E0"/>
    <w:rsid w:val="00915CA4"/>
    <w:rsid w:val="00941567"/>
    <w:rsid w:val="00950820"/>
    <w:rsid w:val="00961071"/>
    <w:rsid w:val="00963062"/>
    <w:rsid w:val="00964117"/>
    <w:rsid w:val="009735FA"/>
    <w:rsid w:val="00977ECA"/>
    <w:rsid w:val="00982180"/>
    <w:rsid w:val="0098327E"/>
    <w:rsid w:val="00987438"/>
    <w:rsid w:val="009928B2"/>
    <w:rsid w:val="009C61B2"/>
    <w:rsid w:val="009C7AC6"/>
    <w:rsid w:val="009D5928"/>
    <w:rsid w:val="009E6F29"/>
    <w:rsid w:val="00A20F73"/>
    <w:rsid w:val="00A35CAD"/>
    <w:rsid w:val="00A41969"/>
    <w:rsid w:val="00A4582B"/>
    <w:rsid w:val="00A60413"/>
    <w:rsid w:val="00A72886"/>
    <w:rsid w:val="00A73F67"/>
    <w:rsid w:val="00A747B6"/>
    <w:rsid w:val="00A83658"/>
    <w:rsid w:val="00A85489"/>
    <w:rsid w:val="00A87B1F"/>
    <w:rsid w:val="00AA336E"/>
    <w:rsid w:val="00AA428E"/>
    <w:rsid w:val="00AD0C2E"/>
    <w:rsid w:val="00AD1AA6"/>
    <w:rsid w:val="00AE110D"/>
    <w:rsid w:val="00AF1F2A"/>
    <w:rsid w:val="00AF30EF"/>
    <w:rsid w:val="00AF5490"/>
    <w:rsid w:val="00B13608"/>
    <w:rsid w:val="00B4633B"/>
    <w:rsid w:val="00B518F9"/>
    <w:rsid w:val="00B64642"/>
    <w:rsid w:val="00B777AF"/>
    <w:rsid w:val="00B81789"/>
    <w:rsid w:val="00B91BA4"/>
    <w:rsid w:val="00B92DF1"/>
    <w:rsid w:val="00BA1578"/>
    <w:rsid w:val="00BA6E6F"/>
    <w:rsid w:val="00BE1027"/>
    <w:rsid w:val="00BF4150"/>
    <w:rsid w:val="00C01AA6"/>
    <w:rsid w:val="00C06257"/>
    <w:rsid w:val="00C079B0"/>
    <w:rsid w:val="00C10DF0"/>
    <w:rsid w:val="00C14250"/>
    <w:rsid w:val="00C2297C"/>
    <w:rsid w:val="00C5352B"/>
    <w:rsid w:val="00C56BA3"/>
    <w:rsid w:val="00C64BB4"/>
    <w:rsid w:val="00C73CF5"/>
    <w:rsid w:val="00C75BD4"/>
    <w:rsid w:val="00C75C2D"/>
    <w:rsid w:val="00C96847"/>
    <w:rsid w:val="00CA53B9"/>
    <w:rsid w:val="00CA5C08"/>
    <w:rsid w:val="00CB5B07"/>
    <w:rsid w:val="00CC7B51"/>
    <w:rsid w:val="00CD237B"/>
    <w:rsid w:val="00CD36B8"/>
    <w:rsid w:val="00CF2624"/>
    <w:rsid w:val="00D15542"/>
    <w:rsid w:val="00D21BBD"/>
    <w:rsid w:val="00D30550"/>
    <w:rsid w:val="00D36448"/>
    <w:rsid w:val="00D574CA"/>
    <w:rsid w:val="00D71BC4"/>
    <w:rsid w:val="00D80559"/>
    <w:rsid w:val="00DB1DE9"/>
    <w:rsid w:val="00DB7073"/>
    <w:rsid w:val="00DD025A"/>
    <w:rsid w:val="00DD6ADB"/>
    <w:rsid w:val="00DD7D7A"/>
    <w:rsid w:val="00DE18E2"/>
    <w:rsid w:val="00E55AF6"/>
    <w:rsid w:val="00E5703D"/>
    <w:rsid w:val="00E60BF0"/>
    <w:rsid w:val="00E6449F"/>
    <w:rsid w:val="00E7516C"/>
    <w:rsid w:val="00E94D8D"/>
    <w:rsid w:val="00E97C17"/>
    <w:rsid w:val="00EA3809"/>
    <w:rsid w:val="00EC0C40"/>
    <w:rsid w:val="00ED0A0D"/>
    <w:rsid w:val="00F03DC0"/>
    <w:rsid w:val="00F113F5"/>
    <w:rsid w:val="00F15155"/>
    <w:rsid w:val="00F2543F"/>
    <w:rsid w:val="00F2705D"/>
    <w:rsid w:val="00F33D10"/>
    <w:rsid w:val="00F342C0"/>
    <w:rsid w:val="00F422E1"/>
    <w:rsid w:val="00F67BBD"/>
    <w:rsid w:val="00F71F8E"/>
    <w:rsid w:val="00F74762"/>
    <w:rsid w:val="00F87ECF"/>
    <w:rsid w:val="00F95133"/>
    <w:rsid w:val="00FB0592"/>
    <w:rsid w:val="00FB139B"/>
    <w:rsid w:val="00FD40EF"/>
    <w:rsid w:val="00FE1126"/>
    <w:rsid w:val="00FE290A"/>
    <w:rsid w:val="00FF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01C56C1F-DCC3-437A-B48D-A0D8D598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886"/>
    <w:rPr>
      <w:sz w:val="24"/>
      <w:szCs w:val="24"/>
    </w:rPr>
  </w:style>
  <w:style w:type="paragraph" w:styleId="Heading1">
    <w:name w:val="heading 1"/>
    <w:basedOn w:val="Normal"/>
    <w:next w:val="Normal"/>
    <w:link w:val="Heading1Char"/>
    <w:uiPriority w:val="99"/>
    <w:qFormat/>
    <w:rsid w:val="00A72886"/>
    <w:pPr>
      <w:keepNext/>
      <w:outlineLvl w:val="0"/>
    </w:pPr>
    <w:rPr>
      <w:b/>
      <w:bCs/>
      <w:sz w:val="20"/>
      <w:szCs w:val="12"/>
    </w:rPr>
  </w:style>
  <w:style w:type="paragraph" w:styleId="Heading2">
    <w:name w:val="heading 2"/>
    <w:basedOn w:val="Normal"/>
    <w:next w:val="Normal"/>
    <w:link w:val="Heading2Char"/>
    <w:uiPriority w:val="99"/>
    <w:qFormat/>
    <w:rsid w:val="00A72886"/>
    <w:pPr>
      <w:keepNext/>
      <w:outlineLvl w:val="1"/>
    </w:pPr>
    <w:rPr>
      <w:b/>
      <w:bCs/>
      <w:u w:val="single"/>
    </w:rPr>
  </w:style>
  <w:style w:type="paragraph" w:styleId="Heading3">
    <w:name w:val="heading 3"/>
    <w:basedOn w:val="Normal"/>
    <w:next w:val="Normal"/>
    <w:link w:val="Heading3Char"/>
    <w:uiPriority w:val="99"/>
    <w:qFormat/>
    <w:rsid w:val="00A72886"/>
    <w:pPr>
      <w:keepNext/>
      <w:outlineLvl w:val="2"/>
    </w:pPr>
    <w:rPr>
      <w:b/>
      <w:bCs/>
    </w:rPr>
  </w:style>
  <w:style w:type="paragraph" w:styleId="Heading4">
    <w:name w:val="heading 4"/>
    <w:basedOn w:val="Normal"/>
    <w:next w:val="Normal"/>
    <w:link w:val="Heading4Char"/>
    <w:uiPriority w:val="99"/>
    <w:qFormat/>
    <w:rsid w:val="00A72886"/>
    <w:pPr>
      <w:keepNext/>
      <w:jc w:val="center"/>
      <w:outlineLvl w:val="3"/>
    </w:pPr>
    <w:rPr>
      <w:b/>
      <w:bCs/>
    </w:rPr>
  </w:style>
  <w:style w:type="paragraph" w:styleId="Heading5">
    <w:name w:val="heading 5"/>
    <w:basedOn w:val="Normal"/>
    <w:next w:val="Normal"/>
    <w:link w:val="Heading5Char"/>
    <w:uiPriority w:val="99"/>
    <w:qFormat/>
    <w:rsid w:val="00A72886"/>
    <w:pPr>
      <w:keepNext/>
      <w:outlineLvl w:val="4"/>
    </w:pPr>
    <w:rPr>
      <w:b/>
      <w:szCs w:val="20"/>
    </w:rPr>
  </w:style>
  <w:style w:type="paragraph" w:styleId="Heading6">
    <w:name w:val="heading 6"/>
    <w:basedOn w:val="Normal"/>
    <w:next w:val="Normal"/>
    <w:link w:val="Heading6Char"/>
    <w:uiPriority w:val="99"/>
    <w:qFormat/>
    <w:rsid w:val="00A72886"/>
    <w:pPr>
      <w:keepNext/>
      <w:tabs>
        <w:tab w:val="num" w:pos="0"/>
      </w:tabs>
      <w:jc w:val="center"/>
      <w:outlineLvl w:val="5"/>
    </w:pPr>
    <w:rPr>
      <w:b/>
      <w:szCs w:val="20"/>
    </w:rPr>
  </w:style>
  <w:style w:type="paragraph" w:styleId="Heading7">
    <w:name w:val="heading 7"/>
    <w:basedOn w:val="Normal"/>
    <w:next w:val="Normal"/>
    <w:link w:val="Heading7Char"/>
    <w:uiPriority w:val="99"/>
    <w:qFormat/>
    <w:rsid w:val="00A72886"/>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03BB"/>
    <w:rPr>
      <w:rFonts w:eastAsia="Times New Roman" w:cs="Times New Roman"/>
      <w:b/>
      <w:bCs/>
      <w:sz w:val="12"/>
      <w:szCs w:val="12"/>
    </w:rPr>
  </w:style>
  <w:style w:type="character" w:customStyle="1" w:styleId="Heading2Char">
    <w:name w:val="Heading 2 Char"/>
    <w:basedOn w:val="DefaultParagraphFont"/>
    <w:link w:val="Heading2"/>
    <w:uiPriority w:val="9"/>
    <w:semiHidden/>
    <w:rsid w:val="009C0E9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C0E9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C0E9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C0E9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C0E9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C0E9F"/>
    <w:rPr>
      <w:rFonts w:asciiTheme="minorHAnsi" w:eastAsiaTheme="minorEastAsia" w:hAnsiTheme="minorHAnsi" w:cstheme="minorBidi"/>
      <w:sz w:val="24"/>
      <w:szCs w:val="24"/>
    </w:rPr>
  </w:style>
  <w:style w:type="paragraph" w:styleId="Header">
    <w:name w:val="header"/>
    <w:basedOn w:val="Normal"/>
    <w:link w:val="HeaderChar"/>
    <w:uiPriority w:val="99"/>
    <w:rsid w:val="00A72886"/>
    <w:pPr>
      <w:tabs>
        <w:tab w:val="center" w:pos="4320"/>
        <w:tab w:val="right" w:pos="8640"/>
      </w:tabs>
    </w:pPr>
  </w:style>
  <w:style w:type="character" w:customStyle="1" w:styleId="HeaderChar">
    <w:name w:val="Header Char"/>
    <w:basedOn w:val="DefaultParagraphFont"/>
    <w:link w:val="Header"/>
    <w:uiPriority w:val="99"/>
    <w:semiHidden/>
    <w:rsid w:val="009C0E9F"/>
    <w:rPr>
      <w:sz w:val="24"/>
      <w:szCs w:val="24"/>
    </w:rPr>
  </w:style>
  <w:style w:type="paragraph" w:styleId="Footer">
    <w:name w:val="footer"/>
    <w:basedOn w:val="Normal"/>
    <w:link w:val="FooterChar"/>
    <w:uiPriority w:val="99"/>
    <w:rsid w:val="00A72886"/>
    <w:pPr>
      <w:tabs>
        <w:tab w:val="center" w:pos="4320"/>
        <w:tab w:val="right" w:pos="8640"/>
      </w:tabs>
    </w:pPr>
  </w:style>
  <w:style w:type="character" w:customStyle="1" w:styleId="FooterChar">
    <w:name w:val="Footer Char"/>
    <w:basedOn w:val="DefaultParagraphFont"/>
    <w:link w:val="Footer"/>
    <w:uiPriority w:val="99"/>
    <w:locked/>
    <w:rsid w:val="00D574CA"/>
    <w:rPr>
      <w:sz w:val="24"/>
    </w:rPr>
  </w:style>
  <w:style w:type="paragraph" w:styleId="Title">
    <w:name w:val="Title"/>
    <w:basedOn w:val="Normal"/>
    <w:link w:val="TitleChar"/>
    <w:uiPriority w:val="99"/>
    <w:qFormat/>
    <w:rsid w:val="00A72886"/>
    <w:pPr>
      <w:jc w:val="center"/>
    </w:pPr>
    <w:rPr>
      <w:b/>
      <w:bCs/>
      <w:szCs w:val="20"/>
    </w:rPr>
  </w:style>
  <w:style w:type="character" w:customStyle="1" w:styleId="TitleChar">
    <w:name w:val="Title Char"/>
    <w:basedOn w:val="DefaultParagraphFont"/>
    <w:link w:val="Title"/>
    <w:uiPriority w:val="10"/>
    <w:rsid w:val="009C0E9F"/>
    <w:rPr>
      <w:rFonts w:asciiTheme="majorHAnsi" w:eastAsiaTheme="majorEastAsia" w:hAnsiTheme="majorHAnsi" w:cstheme="majorBidi"/>
      <w:b/>
      <w:bCs/>
      <w:kern w:val="28"/>
      <w:sz w:val="32"/>
      <w:szCs w:val="32"/>
    </w:rPr>
  </w:style>
  <w:style w:type="character" w:customStyle="1" w:styleId="EmailStyle20">
    <w:name w:val="EmailStyle20"/>
    <w:uiPriority w:val="99"/>
    <w:rsid w:val="00A72886"/>
    <w:rPr>
      <w:rFonts w:ascii="Arial" w:hAnsi="Arial"/>
      <w:color w:val="000000"/>
      <w:sz w:val="20"/>
    </w:rPr>
  </w:style>
  <w:style w:type="paragraph" w:styleId="NormalWeb">
    <w:name w:val="Normal (Web)"/>
    <w:basedOn w:val="Normal"/>
    <w:uiPriority w:val="99"/>
    <w:rsid w:val="00A72886"/>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A72886"/>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rsid w:val="009C0E9F"/>
    <w:rPr>
      <w:sz w:val="0"/>
      <w:szCs w:val="0"/>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F3D44"/>
    <w:rPr>
      <w:rFonts w:cs="Times New Roman"/>
      <w:sz w:val="16"/>
      <w:szCs w:val="16"/>
    </w:rPr>
  </w:style>
  <w:style w:type="paragraph" w:styleId="CommentText">
    <w:name w:val="annotation text"/>
    <w:basedOn w:val="Normal"/>
    <w:link w:val="CommentTextChar"/>
    <w:uiPriority w:val="99"/>
    <w:rsid w:val="003F3D44"/>
    <w:rPr>
      <w:sz w:val="20"/>
      <w:szCs w:val="20"/>
    </w:rPr>
  </w:style>
  <w:style w:type="character" w:customStyle="1" w:styleId="CommentTextChar">
    <w:name w:val="Comment Text Char"/>
    <w:basedOn w:val="DefaultParagraphFont"/>
    <w:link w:val="CommentText"/>
    <w:uiPriority w:val="99"/>
    <w:locked/>
    <w:rsid w:val="003F3D44"/>
    <w:rPr>
      <w:rFonts w:cs="Times New Roman"/>
    </w:rPr>
  </w:style>
  <w:style w:type="paragraph" w:styleId="CommentSubject">
    <w:name w:val="annotation subject"/>
    <w:basedOn w:val="CommentText"/>
    <w:next w:val="CommentText"/>
    <w:link w:val="CommentSubjectChar"/>
    <w:uiPriority w:val="99"/>
    <w:rsid w:val="003F3D44"/>
    <w:rPr>
      <w:b/>
      <w:bCs/>
    </w:rPr>
  </w:style>
  <w:style w:type="character" w:customStyle="1" w:styleId="CommentSubjectChar">
    <w:name w:val="Comment Subject Char"/>
    <w:basedOn w:val="CommentTextChar"/>
    <w:link w:val="CommentSubject"/>
    <w:uiPriority w:val="99"/>
    <w:locked/>
    <w:rsid w:val="003F3D44"/>
    <w:rPr>
      <w:rFonts w:cs="Times New Roman"/>
      <w:b/>
      <w:bCs/>
    </w:rPr>
  </w:style>
  <w:style w:type="paragraph" w:styleId="ListParagraph">
    <w:name w:val="List Paragraph"/>
    <w:basedOn w:val="Normal"/>
    <w:uiPriority w:val="99"/>
    <w:qFormat/>
    <w:rsid w:val="00881EBE"/>
    <w:pPr>
      <w:ind w:left="720"/>
      <w:contextualSpacing/>
    </w:pPr>
  </w:style>
  <w:style w:type="character" w:customStyle="1" w:styleId="file">
    <w:name w:val="file"/>
    <w:basedOn w:val="DefaultParagraphFont"/>
    <w:uiPriority w:val="99"/>
    <w:rsid w:val="00287769"/>
    <w:rPr>
      <w:rFonts w:cs="Times New Roman"/>
    </w:rPr>
  </w:style>
  <w:style w:type="paragraph" w:styleId="Revision">
    <w:name w:val="Revision"/>
    <w:hidden/>
    <w:uiPriority w:val="99"/>
    <w:semiHidden/>
    <w:rsid w:val="00B518F9"/>
    <w:rPr>
      <w:sz w:val="24"/>
      <w:szCs w:val="24"/>
    </w:rPr>
  </w:style>
  <w:style w:type="paragraph" w:styleId="EndnoteText">
    <w:name w:val="endnote text"/>
    <w:basedOn w:val="Normal"/>
    <w:link w:val="EndnoteTextChar"/>
    <w:uiPriority w:val="99"/>
    <w:semiHidden/>
    <w:unhideWhenUsed/>
    <w:rsid w:val="00BE1027"/>
    <w:rPr>
      <w:sz w:val="20"/>
      <w:szCs w:val="20"/>
    </w:rPr>
  </w:style>
  <w:style w:type="character" w:customStyle="1" w:styleId="EndnoteTextChar">
    <w:name w:val="Endnote Text Char"/>
    <w:basedOn w:val="DefaultParagraphFont"/>
    <w:link w:val="EndnoteText"/>
    <w:uiPriority w:val="99"/>
    <w:semiHidden/>
    <w:rsid w:val="00BE1027"/>
    <w:rPr>
      <w:sz w:val="20"/>
      <w:szCs w:val="20"/>
    </w:rPr>
  </w:style>
  <w:style w:type="character" w:styleId="EndnoteReference">
    <w:name w:val="endnote reference"/>
    <w:basedOn w:val="DefaultParagraphFont"/>
    <w:uiPriority w:val="99"/>
    <w:semiHidden/>
    <w:unhideWhenUsed/>
    <w:rsid w:val="00BE10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5987">
      <w:marLeft w:val="0"/>
      <w:marRight w:val="0"/>
      <w:marTop w:val="0"/>
      <w:marBottom w:val="0"/>
      <w:divBdr>
        <w:top w:val="none" w:sz="0" w:space="0" w:color="auto"/>
        <w:left w:val="none" w:sz="0" w:space="0" w:color="auto"/>
        <w:bottom w:val="none" w:sz="0" w:space="0" w:color="auto"/>
        <w:right w:val="none" w:sz="0" w:space="0" w:color="auto"/>
      </w:divBdr>
    </w:div>
    <w:div w:id="166595988">
      <w:marLeft w:val="0"/>
      <w:marRight w:val="0"/>
      <w:marTop w:val="0"/>
      <w:marBottom w:val="0"/>
      <w:divBdr>
        <w:top w:val="none" w:sz="0" w:space="0" w:color="auto"/>
        <w:left w:val="none" w:sz="0" w:space="0" w:color="auto"/>
        <w:bottom w:val="none" w:sz="0" w:space="0" w:color="auto"/>
        <w:right w:val="none" w:sz="0" w:space="0" w:color="auto"/>
      </w:divBdr>
    </w:div>
    <w:div w:id="166595990">
      <w:marLeft w:val="0"/>
      <w:marRight w:val="0"/>
      <w:marTop w:val="0"/>
      <w:marBottom w:val="0"/>
      <w:divBdr>
        <w:top w:val="none" w:sz="0" w:space="0" w:color="auto"/>
        <w:left w:val="none" w:sz="0" w:space="0" w:color="auto"/>
        <w:bottom w:val="none" w:sz="0" w:space="0" w:color="auto"/>
        <w:right w:val="none" w:sz="0" w:space="0" w:color="auto"/>
      </w:divBdr>
    </w:div>
    <w:div w:id="166595991">
      <w:marLeft w:val="0"/>
      <w:marRight w:val="0"/>
      <w:marTop w:val="0"/>
      <w:marBottom w:val="0"/>
      <w:divBdr>
        <w:top w:val="none" w:sz="0" w:space="0" w:color="auto"/>
        <w:left w:val="none" w:sz="0" w:space="0" w:color="auto"/>
        <w:bottom w:val="none" w:sz="0" w:space="0" w:color="auto"/>
        <w:right w:val="none" w:sz="0" w:space="0" w:color="auto"/>
      </w:divBdr>
      <w:divsChild>
        <w:div w:id="166595989">
          <w:marLeft w:val="0"/>
          <w:marRight w:val="0"/>
          <w:marTop w:val="0"/>
          <w:marBottom w:val="0"/>
          <w:divBdr>
            <w:top w:val="none" w:sz="0" w:space="0" w:color="auto"/>
            <w:left w:val="none" w:sz="0" w:space="0" w:color="auto"/>
            <w:bottom w:val="none" w:sz="0" w:space="0" w:color="auto"/>
            <w:right w:val="none" w:sz="0" w:space="0" w:color="auto"/>
          </w:divBdr>
        </w:div>
        <w:div w:id="166595993">
          <w:marLeft w:val="0"/>
          <w:marRight w:val="0"/>
          <w:marTop w:val="0"/>
          <w:marBottom w:val="0"/>
          <w:divBdr>
            <w:top w:val="none" w:sz="0" w:space="0" w:color="auto"/>
            <w:left w:val="none" w:sz="0" w:space="0" w:color="auto"/>
            <w:bottom w:val="none" w:sz="0" w:space="0" w:color="auto"/>
            <w:right w:val="none" w:sz="0" w:space="0" w:color="auto"/>
          </w:divBdr>
        </w:div>
      </w:divsChild>
    </w:div>
    <w:div w:id="166595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m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cbi.nlm.nih.gov/books/NBK470389/" TargetMode="External"/><Relationship Id="rId2" Type="http://schemas.openxmlformats.org/officeDocument/2006/relationships/customXml" Target="../customXml/item2.xml"/><Relationship Id="rId16" Type="http://schemas.openxmlformats.org/officeDocument/2006/relationships/hyperlink" Target="https://www.ncbi.nlm.nih.gov/pubmed/2837957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ncbi.nlm.nih.gov/pubmed/1114581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4A009-821D-496E-8A6A-BB3126DF7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1C3554-FD29-42FC-B230-7318EF16E0C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A3B4917-B405-4F7B-B4D4-3662E4B2BB62}">
  <ds:schemaRefs>
    <ds:schemaRef ds:uri="http://schemas.microsoft.com/sharepoint/v3/contenttype/forms"/>
  </ds:schemaRefs>
</ds:datastoreItem>
</file>

<file path=customXml/itemProps4.xml><?xml version="1.0" encoding="utf-8"?>
<ds:datastoreItem xmlns:ds="http://schemas.openxmlformats.org/officeDocument/2006/customXml" ds:itemID="{B17B2428-E90E-4851-8CD4-203F98D1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1981</Words>
  <Characters>12225</Characters>
  <Application>Microsoft Office Word</Application>
  <DocSecurity>0</DocSecurity>
  <Lines>359</Lines>
  <Paragraphs>186</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Centene User</dc:creator>
  <cp:keywords/>
  <dc:description/>
  <cp:lastModifiedBy>Emily C. Mahan</cp:lastModifiedBy>
  <cp:revision>2</cp:revision>
  <cp:lastPrinted>2015-06-25T20:16:00Z</cp:lastPrinted>
  <dcterms:created xsi:type="dcterms:W3CDTF">2019-06-27T13:23:00Z</dcterms:created>
  <dcterms:modified xsi:type="dcterms:W3CDTF">2019-06-27T13:23:00Z</dcterms:modified>
</cp:coreProperties>
</file>