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4BCA8" w14:textId="77777777" w:rsidR="00E51102" w:rsidRPr="00B777AF" w:rsidRDefault="00E51102" w:rsidP="00D574CA">
      <w:pPr>
        <w:pStyle w:val="PolicyMainHead"/>
        <w:tabs>
          <w:tab w:val="left" w:pos="360"/>
        </w:tabs>
        <w:spacing w:after="0" w:line="240" w:lineRule="auto"/>
        <w:rPr>
          <w:rFonts w:ascii="Times New Roman" w:hAnsi="Times New Roman"/>
          <w:color w:val="00548C"/>
          <w:sz w:val="36"/>
        </w:rPr>
      </w:pPr>
      <w:bookmarkStart w:id="0" w:name="_GoBack"/>
      <w:bookmarkEnd w:id="0"/>
      <w:r>
        <w:rPr>
          <w:rFonts w:ascii="Times New Roman" w:hAnsi="Times New Roman"/>
          <w:color w:val="00548C"/>
          <w:sz w:val="36"/>
        </w:rPr>
        <w:t>Clinic</w:t>
      </w:r>
      <w:r w:rsidRPr="005D7B81">
        <w:rPr>
          <w:rFonts w:ascii="Times New Roman" w:hAnsi="Times New Roman"/>
          <w:color w:val="00548C"/>
          <w:sz w:val="36"/>
        </w:rPr>
        <w:t xml:space="preserve">al </w:t>
      </w:r>
      <w:r>
        <w:rPr>
          <w:rFonts w:ascii="Times New Roman" w:hAnsi="Times New Roman"/>
          <w:color w:val="00548C"/>
          <w:sz w:val="36"/>
        </w:rPr>
        <w:t>Policy: Homocysteine Testing</w:t>
      </w:r>
    </w:p>
    <w:p w14:paraId="6554BCA9" w14:textId="77777777" w:rsidR="00E51102" w:rsidRDefault="00E51102" w:rsidP="00D574CA">
      <w:pPr>
        <w:pStyle w:val="PolicyMainHead"/>
        <w:tabs>
          <w:tab w:val="left" w:pos="360"/>
        </w:tabs>
        <w:spacing w:after="0" w:line="240" w:lineRule="auto"/>
        <w:rPr>
          <w:color w:val="00548C"/>
          <w:sz w:val="24"/>
        </w:rPr>
        <w:sectPr w:rsidR="00E51102" w:rsidSect="00B777AF">
          <w:headerReference w:type="default" r:id="rId10"/>
          <w:footerReference w:type="default" r:id="rId11"/>
          <w:headerReference w:type="first" r:id="rId12"/>
          <w:footerReference w:type="first" r:id="rId13"/>
          <w:pgSz w:w="12240" w:h="15840" w:code="1"/>
          <w:pgMar w:top="1440" w:right="907" w:bottom="1152" w:left="1440" w:header="576" w:footer="288" w:gutter="0"/>
          <w:cols w:space="720"/>
          <w:titlePg/>
          <w:docGrid w:linePitch="360"/>
        </w:sectPr>
      </w:pPr>
    </w:p>
    <w:p w14:paraId="6554BCAA" w14:textId="77777777" w:rsidR="00E51102" w:rsidRPr="003D7BE7" w:rsidRDefault="00E51102" w:rsidP="001A57C9">
      <w:pPr>
        <w:pStyle w:val="PolicyMainHead"/>
        <w:tabs>
          <w:tab w:val="left" w:pos="360"/>
        </w:tabs>
        <w:spacing w:after="0" w:line="240" w:lineRule="auto"/>
        <w:rPr>
          <w:rFonts w:ascii="Times New Roman" w:hAnsi="Times New Roman"/>
          <w:color w:val="00548C"/>
          <w:sz w:val="24"/>
          <w:szCs w:val="24"/>
        </w:rPr>
        <w:sectPr w:rsidR="00E51102"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Pr>
          <w:rFonts w:ascii="Times New Roman" w:hAnsi="Times New Roman"/>
          <w:color w:val="00548C"/>
          <w:sz w:val="24"/>
          <w:szCs w:val="24"/>
        </w:rPr>
        <w:t>MP.</w:t>
      </w:r>
      <w:r w:rsidR="002116CA">
        <w:rPr>
          <w:rFonts w:ascii="Times New Roman" w:hAnsi="Times New Roman"/>
          <w:color w:val="00548C"/>
          <w:sz w:val="24"/>
          <w:szCs w:val="24"/>
        </w:rPr>
        <w:t>121</w:t>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006C4EF6">
        <w:rPr>
          <w:rFonts w:ascii="Times New Roman" w:hAnsi="Times New Roman"/>
          <w:color w:val="00548C"/>
          <w:sz w:val="24"/>
          <w:szCs w:val="24"/>
        </w:rPr>
        <w:t xml:space="preserve">     </w:t>
      </w:r>
      <w:hyperlink w:anchor="Coding_Implications" w:history="1">
        <w:r w:rsidRPr="00875924">
          <w:rPr>
            <w:rStyle w:val="Hyperlink"/>
            <w:rFonts w:ascii="Times New Roman" w:hAnsi="Times New Roman"/>
            <w:sz w:val="24"/>
            <w:szCs w:val="24"/>
          </w:rPr>
          <w:t>Coding Implications</w:t>
        </w:r>
      </w:hyperlink>
      <w:r w:rsidRPr="003D7BE7">
        <w:rPr>
          <w:rFonts w:ascii="Times New Roman" w:hAnsi="Times New Roman"/>
          <w:color w:val="00548C"/>
          <w:sz w:val="24"/>
          <w:szCs w:val="24"/>
        </w:rPr>
        <w:t xml:space="preserve"> </w:t>
      </w:r>
    </w:p>
    <w:p w14:paraId="6554BCAB" w14:textId="2BC17674" w:rsidR="00E51102" w:rsidRDefault="00E51102" w:rsidP="00D574CA">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951D05">
        <w:rPr>
          <w:rFonts w:ascii="Times New Roman" w:hAnsi="Times New Roman"/>
          <w:color w:val="00548C"/>
          <w:sz w:val="24"/>
          <w:szCs w:val="24"/>
        </w:rPr>
        <w:t>0</w:t>
      </w:r>
      <w:r w:rsidR="00F95073">
        <w:rPr>
          <w:rFonts w:ascii="Times New Roman" w:hAnsi="Times New Roman"/>
          <w:color w:val="00548C"/>
          <w:sz w:val="24"/>
          <w:szCs w:val="24"/>
        </w:rPr>
        <w:t>5</w:t>
      </w:r>
      <w:r w:rsidR="00951D05">
        <w:rPr>
          <w:rFonts w:ascii="Times New Roman" w:hAnsi="Times New Roman"/>
          <w:color w:val="00548C"/>
          <w:sz w:val="24"/>
          <w:szCs w:val="24"/>
        </w:rPr>
        <w:t>/1</w:t>
      </w:r>
      <w:r w:rsidR="00BE7311">
        <w:rPr>
          <w:rFonts w:ascii="Times New Roman" w:hAnsi="Times New Roman"/>
          <w:color w:val="00548C"/>
          <w:sz w:val="24"/>
          <w:szCs w:val="24"/>
        </w:rPr>
        <w:t>9</w:t>
      </w:r>
    </w:p>
    <w:p w14:paraId="6554BCAC" w14:textId="77777777" w:rsidR="00E51102" w:rsidRDefault="001F05DD" w:rsidP="00875924">
      <w:pPr>
        <w:pStyle w:val="PolicyMainHead"/>
        <w:tabs>
          <w:tab w:val="left" w:pos="360"/>
        </w:tabs>
        <w:spacing w:after="0" w:line="240" w:lineRule="auto"/>
        <w:jc w:val="right"/>
        <w:rPr>
          <w:rStyle w:val="Strong"/>
          <w:rFonts w:ascii="Times New Roman" w:hAnsi="Times New Roman"/>
          <w:b w:val="0"/>
          <w:u w:val="single"/>
        </w:rPr>
        <w:sectPr w:rsidR="00E51102" w:rsidSect="00875924">
          <w:type w:val="continuous"/>
          <w:pgSz w:w="12240" w:h="15840" w:code="1"/>
          <w:pgMar w:top="1440" w:right="1170" w:bottom="1440" w:left="1440" w:header="576" w:footer="288" w:gutter="0"/>
          <w:cols w:num="2" w:space="720"/>
          <w:titlePg/>
          <w:docGrid w:linePitch="360"/>
        </w:sectPr>
      </w:pPr>
      <w:hyperlink w:anchor="Revision_Log" w:history="1">
        <w:r w:rsidR="00E51102" w:rsidRPr="003D7BE7">
          <w:rPr>
            <w:rStyle w:val="Hyperlink"/>
            <w:rFonts w:ascii="Times New Roman" w:hAnsi="Times New Roman"/>
            <w:sz w:val="24"/>
            <w:szCs w:val="24"/>
          </w:rPr>
          <w:t>Revision Log</w:t>
        </w:r>
      </w:hyperlink>
      <w:r w:rsidR="00E51102">
        <w:rPr>
          <w:rFonts w:ascii="Times New Roman" w:hAnsi="Times New Roman"/>
          <w:color w:val="00548C"/>
          <w:sz w:val="24"/>
          <w:szCs w:val="24"/>
        </w:rPr>
        <w:t xml:space="preserve"> </w:t>
      </w:r>
    </w:p>
    <w:p w14:paraId="6554BCAD" w14:textId="77777777" w:rsidR="00E51102" w:rsidRDefault="00E51102" w:rsidP="00032D3F">
      <w:pPr>
        <w:pStyle w:val="NormalWeb"/>
        <w:tabs>
          <w:tab w:val="left" w:pos="975"/>
        </w:tabs>
        <w:spacing w:before="0" w:beforeAutospacing="0" w:after="0" w:afterAutospacing="0"/>
        <w:rPr>
          <w:rFonts w:ascii="Times New Roman" w:hAnsi="Times New Roman" w:cs="Times New Roman"/>
        </w:rPr>
      </w:pPr>
      <w:r>
        <w:rPr>
          <w:rFonts w:ascii="Times New Roman" w:hAnsi="Times New Roman" w:cs="Times New Roman"/>
        </w:rPr>
        <w:tab/>
      </w:r>
    </w:p>
    <w:p w14:paraId="6554BCAE" w14:textId="77777777" w:rsidR="00E51102" w:rsidRPr="005D7B81" w:rsidRDefault="00E51102" w:rsidP="00D574CA">
      <w:pPr>
        <w:pStyle w:val="NormalWeb"/>
        <w:spacing w:before="0" w:beforeAutospacing="0" w:after="0" w:afterAutospacing="0"/>
        <w:rPr>
          <w:rStyle w:val="Strong"/>
          <w:rFonts w:ascii="Times New Roman" w:hAnsi="Times New Roman"/>
          <w:b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hAnsi="Times New Roman"/>
            <w:noProof/>
          </w:rPr>
          <w:t>Important Reminder</w:t>
        </w:r>
      </w:hyperlink>
      <w:r w:rsidRPr="005D7B81">
        <w:rPr>
          <w:rFonts w:ascii="Times New Roman" w:hAnsi="Times New Roman" w:cs="Times New Roman"/>
          <w:b/>
          <w:color w:val="00548C"/>
        </w:rPr>
        <w:t xml:space="preserve"> at the end of th</w:t>
      </w:r>
      <w:r>
        <w:rPr>
          <w:rFonts w:ascii="Times New Roman" w:hAnsi="Times New Roman" w:cs="Times New Roman"/>
          <w:b/>
          <w:color w:val="00548C"/>
        </w:rPr>
        <w:t>is</w:t>
      </w:r>
      <w:r w:rsidRPr="005D7B81">
        <w:rPr>
          <w:rFonts w:ascii="Times New Roman" w:hAnsi="Times New Roman" w:cs="Times New Roman"/>
          <w:b/>
          <w:color w:val="00548C"/>
        </w:rPr>
        <w:t xml:space="preserve"> policy for</w:t>
      </w:r>
      <w:r>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Pr>
          <w:rFonts w:ascii="Times New Roman" w:hAnsi="Times New Roman" w:cs="Times New Roman"/>
          <w:b/>
          <w:color w:val="00548C"/>
        </w:rPr>
        <w:t>.</w:t>
      </w:r>
    </w:p>
    <w:p w14:paraId="6554BCAF" w14:textId="77777777" w:rsidR="00E51102" w:rsidRDefault="00E51102" w:rsidP="00875924">
      <w:pPr>
        <w:pStyle w:val="NormalWeb"/>
        <w:spacing w:before="0" w:beforeAutospacing="0" w:after="0" w:afterAutospacing="0"/>
        <w:jc w:val="center"/>
        <w:rPr>
          <w:rStyle w:val="Strong"/>
          <w:rFonts w:ascii="Times New Roman" w:hAnsi="Times New Roman"/>
          <w:b w:val="0"/>
          <w:u w:val="single"/>
        </w:rPr>
      </w:pPr>
    </w:p>
    <w:p w14:paraId="6554BCB0" w14:textId="77777777" w:rsidR="00E51102" w:rsidRPr="00B777AF" w:rsidRDefault="00E51102">
      <w:pPr>
        <w:pStyle w:val="Heading2"/>
        <w:rPr>
          <w:u w:val="none"/>
        </w:rPr>
      </w:pPr>
      <w:r w:rsidRPr="00B777AF">
        <w:rPr>
          <w:u w:val="none"/>
        </w:rPr>
        <w:t xml:space="preserve">Description </w:t>
      </w:r>
    </w:p>
    <w:p w14:paraId="6554BCB1" w14:textId="77777777" w:rsidR="00E51102" w:rsidRDefault="00E51102" w:rsidP="00196935">
      <w:r>
        <w:t xml:space="preserve">Homocysteine is a </w:t>
      </w:r>
      <w:proofErr w:type="spellStart"/>
      <w:r>
        <w:t>nonproteinogenic</w:t>
      </w:r>
      <w:proofErr w:type="spellEnd"/>
      <w:r>
        <w:t xml:space="preserve"> amino acid that is generated during the conversion of </w:t>
      </w:r>
      <w:r w:rsidR="00BE691C">
        <w:t>methioni</w:t>
      </w:r>
      <w:r>
        <w:t>ne to cysteine.  Mutations of the enzymes within the biochemical pathways that regulate homeostatic homocysteine levels are associated with risk factors for various diseases, including venous thromboembolism.  Suppleme</w:t>
      </w:r>
      <w:r w:rsidR="00D9638C">
        <w:t>ntation of folic acid, vitamin B</w:t>
      </w:r>
      <w:r>
        <w:t xml:space="preserve">6, and vitamin </w:t>
      </w:r>
      <w:r w:rsidR="00D9638C">
        <w:t>B</w:t>
      </w:r>
      <w:r>
        <w:t xml:space="preserve">12 are known to modulate homocysteine levels, given the interplay between the </w:t>
      </w:r>
      <w:r>
        <w:rPr>
          <w:bCs/>
        </w:rPr>
        <w:t xml:space="preserve">folate cycle and metabolism.  </w:t>
      </w:r>
      <w:r>
        <w:t>This policy describes the medical necessity requirements for testing levels of homocysteine.</w:t>
      </w:r>
    </w:p>
    <w:p w14:paraId="6554BCB2" w14:textId="77777777" w:rsidR="00E51102" w:rsidRPr="00B777AF" w:rsidRDefault="00E51102" w:rsidP="00196935"/>
    <w:p w14:paraId="6554BCB3" w14:textId="77777777" w:rsidR="00E51102" w:rsidRPr="00B777AF" w:rsidRDefault="00E51102">
      <w:pPr>
        <w:pStyle w:val="Heading2"/>
        <w:rPr>
          <w:u w:val="none"/>
        </w:rPr>
      </w:pPr>
      <w:r w:rsidRPr="00B777AF">
        <w:rPr>
          <w:u w:val="none"/>
        </w:rPr>
        <w:t>Policy/Criteria</w:t>
      </w:r>
    </w:p>
    <w:p w14:paraId="6554BCB4" w14:textId="62A7CDD2" w:rsidR="00E51102" w:rsidRDefault="00E51102" w:rsidP="00C96847">
      <w:pPr>
        <w:numPr>
          <w:ilvl w:val="0"/>
          <w:numId w:val="11"/>
        </w:numPr>
        <w:ind w:left="360"/>
      </w:pPr>
      <w:r>
        <w:rPr>
          <w:bCs/>
          <w:color w:val="000000"/>
        </w:rPr>
        <w:t>It is the policy of health plans affiliated with Centene Corporation</w:t>
      </w:r>
      <w:r w:rsidRPr="00C75BD4">
        <w:rPr>
          <w:bCs/>
          <w:color w:val="000000"/>
          <w:vertAlign w:val="superscript"/>
        </w:rPr>
        <w:t>®</w:t>
      </w:r>
      <w:r>
        <w:rPr>
          <w:bCs/>
          <w:color w:val="000000"/>
        </w:rPr>
        <w:t xml:space="preserve"> </w:t>
      </w:r>
      <w:r>
        <w:t xml:space="preserve">that homocysteine testing is </w:t>
      </w:r>
      <w:r w:rsidRPr="005D6347">
        <w:rPr>
          <w:b/>
        </w:rPr>
        <w:t>medically necessary</w:t>
      </w:r>
      <w:r>
        <w:t xml:space="preserve"> for the following indications:</w:t>
      </w:r>
    </w:p>
    <w:p w14:paraId="6554BCB5" w14:textId="77777777" w:rsidR="00E51102" w:rsidRDefault="00E51102" w:rsidP="003F3D44">
      <w:pPr>
        <w:numPr>
          <w:ilvl w:val="1"/>
          <w:numId w:val="11"/>
        </w:numPr>
        <w:ind w:left="720"/>
      </w:pPr>
      <w:r>
        <w:t>Borderline vitamin B12 deficiency</w:t>
      </w:r>
      <w:r w:rsidR="00C968D2">
        <w:t>;</w:t>
      </w:r>
    </w:p>
    <w:p w14:paraId="6554BCB6" w14:textId="77777777" w:rsidR="00E51102" w:rsidRDefault="00E51102" w:rsidP="003F3D44">
      <w:pPr>
        <w:numPr>
          <w:ilvl w:val="1"/>
          <w:numId w:val="11"/>
        </w:numPr>
        <w:ind w:left="720"/>
      </w:pPr>
      <w:proofErr w:type="spellStart"/>
      <w:r>
        <w:t>Homocystinuria</w:t>
      </w:r>
      <w:proofErr w:type="spellEnd"/>
      <w:r>
        <w:t xml:space="preserve"> caused by cystathionin</w:t>
      </w:r>
      <w:r w:rsidR="00D9638C">
        <w:t>e beta-</w:t>
      </w:r>
      <w:r>
        <w:t>synthase deficiency</w:t>
      </w:r>
      <w:r w:rsidR="00C968D2">
        <w:t>;</w:t>
      </w:r>
    </w:p>
    <w:p w14:paraId="6554BCB7" w14:textId="37FF8A37" w:rsidR="00E51102" w:rsidRDefault="00E51102" w:rsidP="00142570">
      <w:pPr>
        <w:numPr>
          <w:ilvl w:val="1"/>
          <w:numId w:val="11"/>
        </w:numPr>
        <w:ind w:left="720"/>
      </w:pPr>
      <w:r>
        <w:t>Idiopathic</w:t>
      </w:r>
      <w:r w:rsidR="00560CD9">
        <w:t xml:space="preserve"> (unprovoked)</w:t>
      </w:r>
      <w:r>
        <w:t xml:space="preserve"> venous thromboembolism, recurrent venous thromboembolism, thrombosis</w:t>
      </w:r>
      <w:r w:rsidR="00853325">
        <w:t xml:space="preserve"> </w:t>
      </w:r>
      <w:r>
        <w:t>occurring at &lt;</w:t>
      </w:r>
      <w:r w:rsidR="00D9638C">
        <w:t xml:space="preserve"> </w:t>
      </w:r>
      <w:r>
        <w:t>45 years of age, or thrombosis at an unusual site</w:t>
      </w:r>
      <w:r w:rsidR="00C968D2">
        <w:t>.</w:t>
      </w:r>
    </w:p>
    <w:p w14:paraId="6554BCB8" w14:textId="77777777" w:rsidR="00E51102" w:rsidRDefault="00E51102" w:rsidP="00D46999"/>
    <w:p w14:paraId="6554BCB9" w14:textId="77777777" w:rsidR="00E51102" w:rsidRDefault="00E51102" w:rsidP="00D46999">
      <w:pPr>
        <w:numPr>
          <w:ilvl w:val="0"/>
          <w:numId w:val="11"/>
        </w:numPr>
        <w:ind w:left="360"/>
      </w:pPr>
      <w:r>
        <w:rPr>
          <w:bCs/>
          <w:color w:val="000000"/>
        </w:rPr>
        <w:t>It is the policy of health plans affiliated with Centene Corporation</w:t>
      </w:r>
      <w:r w:rsidRPr="00C75BD4">
        <w:rPr>
          <w:bCs/>
          <w:color w:val="000000"/>
          <w:vertAlign w:val="superscript"/>
        </w:rPr>
        <w:t>®</w:t>
      </w:r>
      <w:r>
        <w:rPr>
          <w:bCs/>
          <w:color w:val="000000"/>
        </w:rPr>
        <w:t xml:space="preserve"> </w:t>
      </w:r>
      <w:r>
        <w:t xml:space="preserve">that homocysteine testing is </w:t>
      </w:r>
      <w:r w:rsidRPr="00513C1D">
        <w:rPr>
          <w:bCs/>
        </w:rPr>
        <w:t xml:space="preserve">considered </w:t>
      </w:r>
      <w:r w:rsidRPr="00513C1D">
        <w:rPr>
          <w:b/>
          <w:bCs/>
        </w:rPr>
        <w:t>investigational</w:t>
      </w:r>
      <w:r>
        <w:rPr>
          <w:b/>
          <w:bCs/>
        </w:rPr>
        <w:t xml:space="preserve"> </w:t>
      </w:r>
      <w:r>
        <w:t>for the following indications:</w:t>
      </w:r>
    </w:p>
    <w:p w14:paraId="6554BCBA" w14:textId="77777777" w:rsidR="00E51102" w:rsidRPr="00142570" w:rsidRDefault="00E51102" w:rsidP="002618AC">
      <w:pPr>
        <w:pStyle w:val="ListParagraph"/>
        <w:numPr>
          <w:ilvl w:val="1"/>
          <w:numId w:val="11"/>
        </w:numPr>
        <w:tabs>
          <w:tab w:val="left" w:pos="720"/>
        </w:tabs>
        <w:ind w:hanging="1080"/>
        <w:rPr>
          <w:bCs/>
          <w:color w:val="000000"/>
        </w:rPr>
      </w:pPr>
      <w:r>
        <w:t>Cardiovascular risk testing</w:t>
      </w:r>
      <w:r w:rsidR="00C968D2">
        <w:t>;</w:t>
      </w:r>
    </w:p>
    <w:p w14:paraId="6554BCBB" w14:textId="77777777" w:rsidR="00E51102" w:rsidRPr="000E5939" w:rsidRDefault="00E51102" w:rsidP="002618AC">
      <w:pPr>
        <w:pStyle w:val="ListParagraph"/>
        <w:numPr>
          <w:ilvl w:val="1"/>
          <w:numId w:val="11"/>
        </w:numPr>
        <w:tabs>
          <w:tab w:val="left" w:pos="720"/>
        </w:tabs>
        <w:ind w:hanging="1080"/>
        <w:rPr>
          <w:bCs/>
          <w:color w:val="000000"/>
        </w:rPr>
      </w:pPr>
      <w:r>
        <w:t>For the testing of all other conditions</w:t>
      </w:r>
      <w:r w:rsidR="00C968D2">
        <w:t>.</w:t>
      </w:r>
    </w:p>
    <w:p w14:paraId="6554BCBC" w14:textId="77777777" w:rsidR="00E51102" w:rsidRPr="000E5939" w:rsidRDefault="00E51102" w:rsidP="000E5939">
      <w:pPr>
        <w:tabs>
          <w:tab w:val="left" w:pos="720"/>
        </w:tabs>
        <w:rPr>
          <w:bCs/>
          <w:color w:val="000000"/>
        </w:rPr>
      </w:pPr>
    </w:p>
    <w:p w14:paraId="6554BCBD" w14:textId="77777777" w:rsidR="00E51102" w:rsidRDefault="00E51102" w:rsidP="00FB0592">
      <w:pPr>
        <w:pStyle w:val="Heading2"/>
        <w:rPr>
          <w:u w:val="none"/>
        </w:rPr>
      </w:pPr>
      <w:r w:rsidRPr="00B777AF">
        <w:rPr>
          <w:u w:val="none"/>
        </w:rPr>
        <w:t>Background</w:t>
      </w:r>
    </w:p>
    <w:p w14:paraId="6554BCBE" w14:textId="77777777" w:rsidR="00E51102" w:rsidRDefault="00E51102" w:rsidP="009D2A4F">
      <w:pPr>
        <w:rPr>
          <w:bCs/>
          <w:vertAlign w:val="superscript"/>
        </w:rPr>
      </w:pPr>
      <w:r>
        <w:rPr>
          <w:bCs/>
        </w:rPr>
        <w:t>Homocysteine is a naturally occurring intermediary amino acid that is generated during the conversion of methionine to cysteine.  While homoeostatic plasma levels of homocysteine typically range at low micro molar concentrations,</w:t>
      </w:r>
      <w:r>
        <w:rPr>
          <w:bCs/>
          <w:vertAlign w:val="superscript"/>
        </w:rPr>
        <w:t xml:space="preserve"> </w:t>
      </w:r>
      <w:proofErr w:type="spellStart"/>
      <w:r>
        <w:rPr>
          <w:bCs/>
        </w:rPr>
        <w:t>epistatic</w:t>
      </w:r>
      <w:proofErr w:type="spellEnd"/>
      <w:r>
        <w:rPr>
          <w:bCs/>
        </w:rPr>
        <w:t xml:space="preserve"> mutations and other aberrant modifications of the metabolic pathways modulate homocysteine </w:t>
      </w:r>
      <w:proofErr w:type="gramStart"/>
      <w:r>
        <w:rPr>
          <w:bCs/>
        </w:rPr>
        <w:t>levels.</w:t>
      </w:r>
      <w:r>
        <w:rPr>
          <w:bCs/>
          <w:vertAlign w:val="superscript"/>
        </w:rPr>
        <w:t xml:space="preserve">1  </w:t>
      </w:r>
      <w:r>
        <w:rPr>
          <w:bCs/>
        </w:rPr>
        <w:t>The</w:t>
      </w:r>
      <w:proofErr w:type="gramEnd"/>
      <w:r>
        <w:rPr>
          <w:bCs/>
        </w:rPr>
        <w:t xml:space="preserve"> metabolic pathway of homocysteine consists of upstream </w:t>
      </w:r>
      <w:proofErr w:type="spellStart"/>
      <w:r>
        <w:rPr>
          <w:bCs/>
        </w:rPr>
        <w:t>remethylation</w:t>
      </w:r>
      <w:proofErr w:type="spellEnd"/>
      <w:r>
        <w:rPr>
          <w:bCs/>
        </w:rPr>
        <w:t xml:space="preserve"> pathways and a downstream </w:t>
      </w:r>
      <w:proofErr w:type="spellStart"/>
      <w:r>
        <w:rPr>
          <w:bCs/>
        </w:rPr>
        <w:t>transsulfuration</w:t>
      </w:r>
      <w:proofErr w:type="spellEnd"/>
      <w:r>
        <w:rPr>
          <w:bCs/>
        </w:rPr>
        <w:t xml:space="preserve"> pathway.  Notably, mutations in cystathionine-β-synthase, a key enzyme of the </w:t>
      </w:r>
      <w:proofErr w:type="spellStart"/>
      <w:r>
        <w:rPr>
          <w:bCs/>
        </w:rPr>
        <w:t>transsulfuration</w:t>
      </w:r>
      <w:proofErr w:type="spellEnd"/>
      <w:r>
        <w:rPr>
          <w:bCs/>
        </w:rPr>
        <w:t xml:space="preserve"> pathway, are associated with excess levels of homocysteine and premature thrombotic events.</w:t>
      </w:r>
      <w:r>
        <w:rPr>
          <w:bCs/>
          <w:vertAlign w:val="superscript"/>
        </w:rPr>
        <w:t xml:space="preserve">1   </w:t>
      </w:r>
      <w:r>
        <w:rPr>
          <w:bCs/>
        </w:rPr>
        <w:t>Furthermore, a common mutation at a single nucleotide (677C</w:t>
      </w:r>
      <w:r w:rsidRPr="00927D82">
        <w:rPr>
          <w:bCs/>
        </w:rPr>
        <w:sym w:font="Wingdings" w:char="F0E0"/>
      </w:r>
      <w:r>
        <w:rPr>
          <w:bCs/>
        </w:rPr>
        <w:t>T) in the gene encoding 5,10-methenetetrahydrolate reductase, an enzyme in the folate cycle whose byproducts are necessary cofactors in the metabolism of homocysteine, affects homoeostatic levels of homocysteine.  This mutation predisposes the individual to low folate plasma levels, and consequently a status of hyperhomocysteine.</w:t>
      </w:r>
      <w:r w:rsidRPr="00927D82">
        <w:rPr>
          <w:bCs/>
          <w:vertAlign w:val="superscript"/>
        </w:rPr>
        <w:t>2</w:t>
      </w:r>
      <w:r>
        <w:rPr>
          <w:bCs/>
          <w:vertAlign w:val="superscript"/>
        </w:rPr>
        <w:t xml:space="preserve"> </w:t>
      </w:r>
    </w:p>
    <w:p w14:paraId="6554BCBF" w14:textId="77777777" w:rsidR="00E51102" w:rsidRDefault="00E51102" w:rsidP="009D2A4F">
      <w:pPr>
        <w:rPr>
          <w:bCs/>
          <w:vertAlign w:val="superscript"/>
        </w:rPr>
      </w:pPr>
    </w:p>
    <w:p w14:paraId="6554BCC0" w14:textId="77777777" w:rsidR="00E51102" w:rsidRPr="004D1EC2" w:rsidRDefault="00E51102" w:rsidP="009D2A4F">
      <w:pPr>
        <w:rPr>
          <w:bCs/>
          <w:vertAlign w:val="superscript"/>
        </w:rPr>
      </w:pPr>
      <w:r>
        <w:rPr>
          <w:bCs/>
        </w:rPr>
        <w:t>Changes in the plasma homocysteine levels can result from alterations in folate or vitamin B6 or vitamin B12.</w:t>
      </w:r>
      <w:r w:rsidRPr="003F4EE0">
        <w:rPr>
          <w:bCs/>
          <w:vertAlign w:val="superscript"/>
        </w:rPr>
        <w:t>7</w:t>
      </w:r>
      <w:r>
        <w:rPr>
          <w:bCs/>
          <w:vertAlign w:val="superscript"/>
        </w:rPr>
        <w:t xml:space="preserve"> </w:t>
      </w:r>
      <w:r>
        <w:rPr>
          <w:bCs/>
        </w:rPr>
        <w:t xml:space="preserve"> A meta-analysis of 25 randomized clinical trials demonstrated that daily supplementation of ≥ 0.8 mg folic acid is sufficient to achieve the maximal reduction in plasma homocysteine levels. </w:t>
      </w:r>
      <w:r w:rsidRPr="00224EB2">
        <w:rPr>
          <w:bCs/>
          <w:vertAlign w:val="superscript"/>
        </w:rPr>
        <w:t>8</w:t>
      </w:r>
      <w:r>
        <w:rPr>
          <w:bCs/>
          <w:vertAlign w:val="superscript"/>
        </w:rPr>
        <w:t xml:space="preserve"> </w:t>
      </w:r>
      <w:r>
        <w:rPr>
          <w:bCs/>
        </w:rPr>
        <w:t xml:space="preserve"> Moreover, basal levels of homocysteine range between 5-15 </w:t>
      </w:r>
      <w:proofErr w:type="spellStart"/>
      <w:r>
        <w:rPr>
          <w:bCs/>
        </w:rPr>
        <w:t>μmol</w:t>
      </w:r>
      <w:proofErr w:type="spellEnd"/>
      <w:r>
        <w:rPr>
          <w:bCs/>
        </w:rPr>
        <w:t xml:space="preserve">/L, </w:t>
      </w:r>
      <w:r>
        <w:rPr>
          <w:bCs/>
        </w:rPr>
        <w:lastRenderedPageBreak/>
        <w:t xml:space="preserve">while moderate </w:t>
      </w:r>
      <w:proofErr w:type="spellStart"/>
      <w:r>
        <w:rPr>
          <w:bCs/>
        </w:rPr>
        <w:t>hyperhomocysteine</w:t>
      </w:r>
      <w:proofErr w:type="spellEnd"/>
      <w:r>
        <w:rPr>
          <w:bCs/>
        </w:rPr>
        <w:t xml:space="preserve"> concentrations are 15-30</w:t>
      </w:r>
      <w:r w:rsidRPr="004D1EC2">
        <w:rPr>
          <w:bCs/>
        </w:rPr>
        <w:t xml:space="preserve"> </w:t>
      </w:r>
      <w:proofErr w:type="spellStart"/>
      <w:r>
        <w:rPr>
          <w:bCs/>
        </w:rPr>
        <w:t>μmol</w:t>
      </w:r>
      <w:proofErr w:type="spellEnd"/>
      <w:r>
        <w:rPr>
          <w:bCs/>
        </w:rPr>
        <w:t>/L, intermediate levels are 30-100</w:t>
      </w:r>
      <w:r w:rsidRPr="004D1EC2">
        <w:rPr>
          <w:bCs/>
        </w:rPr>
        <w:t xml:space="preserve"> </w:t>
      </w:r>
      <w:proofErr w:type="spellStart"/>
      <w:r>
        <w:rPr>
          <w:bCs/>
        </w:rPr>
        <w:t>μmol</w:t>
      </w:r>
      <w:proofErr w:type="spellEnd"/>
      <w:r>
        <w:rPr>
          <w:bCs/>
        </w:rPr>
        <w:t xml:space="preserve">/L and severe </w:t>
      </w:r>
      <w:proofErr w:type="spellStart"/>
      <w:r>
        <w:rPr>
          <w:bCs/>
        </w:rPr>
        <w:t>hyperhomocysteine</w:t>
      </w:r>
      <w:proofErr w:type="spellEnd"/>
      <w:r>
        <w:rPr>
          <w:bCs/>
        </w:rPr>
        <w:t xml:space="preserve"> concentrations are &gt;100</w:t>
      </w:r>
      <w:r w:rsidRPr="004D1EC2">
        <w:rPr>
          <w:bCs/>
        </w:rPr>
        <w:t xml:space="preserve"> </w:t>
      </w:r>
      <w:proofErr w:type="spellStart"/>
      <w:r>
        <w:rPr>
          <w:bCs/>
        </w:rPr>
        <w:t>μmol</w:t>
      </w:r>
      <w:proofErr w:type="spellEnd"/>
      <w:r>
        <w:rPr>
          <w:bCs/>
        </w:rPr>
        <w:t>/L.</w:t>
      </w:r>
      <w:r w:rsidRPr="004D1EC2">
        <w:rPr>
          <w:bCs/>
          <w:vertAlign w:val="superscript"/>
        </w:rPr>
        <w:t>7</w:t>
      </w:r>
    </w:p>
    <w:p w14:paraId="6554BCC1" w14:textId="77777777" w:rsidR="00E51102" w:rsidRPr="000237D3" w:rsidRDefault="00E51102">
      <w:pPr>
        <w:rPr>
          <w:bCs/>
        </w:rPr>
      </w:pPr>
    </w:p>
    <w:p w14:paraId="6554BCC2" w14:textId="77777777" w:rsidR="00E51102" w:rsidRDefault="00E51102">
      <w:pPr>
        <w:rPr>
          <w:bCs/>
          <w:vertAlign w:val="superscript"/>
        </w:rPr>
      </w:pPr>
      <w:proofErr w:type="spellStart"/>
      <w:r>
        <w:rPr>
          <w:bCs/>
        </w:rPr>
        <w:t>Hyperhomocysteine</w:t>
      </w:r>
      <w:proofErr w:type="spellEnd"/>
      <w:r>
        <w:rPr>
          <w:bCs/>
        </w:rPr>
        <w:t xml:space="preserve"> was identified as an independent risk factor for ischemic heart disease and vascular disease.</w:t>
      </w:r>
      <w:r>
        <w:rPr>
          <w:bCs/>
          <w:vertAlign w:val="superscript"/>
        </w:rPr>
        <w:t>3,4</w:t>
      </w:r>
      <w:r>
        <w:rPr>
          <w:bCs/>
        </w:rPr>
        <w:t xml:space="preserve">  Initial reports hypothesized that heterozygosity of cystathionine-β-synthase contributed to the accumulation of homocysteine, and these reports were corroborated by later meta</w:t>
      </w:r>
      <w:r w:rsidR="00BE691C">
        <w:rPr>
          <w:bCs/>
        </w:rPr>
        <w:t>-</w:t>
      </w:r>
      <w:r>
        <w:rPr>
          <w:bCs/>
        </w:rPr>
        <w:t>analy</w:t>
      </w:r>
      <w:r w:rsidR="00BE691C">
        <w:rPr>
          <w:bCs/>
        </w:rPr>
        <w:t>s</w:t>
      </w:r>
      <w:r>
        <w:rPr>
          <w:bCs/>
        </w:rPr>
        <w:t>es.</w:t>
      </w:r>
      <w:r>
        <w:rPr>
          <w:bCs/>
          <w:vertAlign w:val="superscript"/>
        </w:rPr>
        <w:t>3,4</w:t>
      </w:r>
      <w:r>
        <w:rPr>
          <w:bCs/>
        </w:rPr>
        <w:t xml:space="preserve">  However, this rationale has not been corr</w:t>
      </w:r>
      <w:r w:rsidR="00BE691C">
        <w:rPr>
          <w:bCs/>
        </w:rPr>
        <w:t xml:space="preserve">oborated, as </w:t>
      </w:r>
      <w:r>
        <w:rPr>
          <w:bCs/>
        </w:rPr>
        <w:t>two randomized controlled trials, the Heart Outcomes Prevention Evaluation 2 (Hope-2) and the Norwegian Vitamin (NORVIT) trials simultaneously demonstrated no effect from lowering homocysteine levels, by way of folic acid or vitamin B6 supplementation, on cardiovascular outcomes.</w:t>
      </w:r>
      <w:r>
        <w:rPr>
          <w:bCs/>
          <w:vertAlign w:val="superscript"/>
        </w:rPr>
        <w:t>5,6</w:t>
      </w:r>
    </w:p>
    <w:p w14:paraId="6554BCC3" w14:textId="77777777" w:rsidR="006F672D" w:rsidRDefault="006F672D">
      <w:pPr>
        <w:rPr>
          <w:bCs/>
          <w:vertAlign w:val="superscript"/>
        </w:rPr>
      </w:pPr>
    </w:p>
    <w:p w14:paraId="6554BCC4" w14:textId="77777777" w:rsidR="006F672D" w:rsidRPr="001A57C9" w:rsidRDefault="006F672D">
      <w:pPr>
        <w:rPr>
          <w:bCs/>
          <w:vertAlign w:val="superscript"/>
        </w:rPr>
      </w:pPr>
      <w:r>
        <w:rPr>
          <w:bCs/>
        </w:rPr>
        <w:t>A 2017 Cochrane review of homocysteine-lowering interventions for preventing cardiovascular events concluded that B-vitamin supplements lowered homocysteine but did not reduce risk of myocardial infarction or reduce death rates in patients at risk of, or living with cardiovascular disease.</w:t>
      </w:r>
      <w:r w:rsidR="00CE0993" w:rsidRPr="001A57C9">
        <w:rPr>
          <w:bCs/>
          <w:vertAlign w:val="superscript"/>
        </w:rPr>
        <w:t>11</w:t>
      </w:r>
      <w:r>
        <w:rPr>
          <w:bCs/>
        </w:rPr>
        <w:t xml:space="preserve"> Compared with placebo, lowered homocysteine resulting from B-vitamin supplementation</w:t>
      </w:r>
      <w:r w:rsidR="00CE0993">
        <w:rPr>
          <w:bCs/>
        </w:rPr>
        <w:t xml:space="preserve"> combined with antihypertensive medications</w:t>
      </w:r>
      <w:r>
        <w:rPr>
          <w:bCs/>
        </w:rPr>
        <w:t xml:space="preserve"> produced </w:t>
      </w:r>
      <w:r w:rsidR="00CE0993">
        <w:rPr>
          <w:bCs/>
        </w:rPr>
        <w:t>uncertain</w:t>
      </w:r>
      <w:r>
        <w:rPr>
          <w:bCs/>
        </w:rPr>
        <w:t xml:space="preserve"> benefit</w:t>
      </w:r>
      <w:r w:rsidR="00CE0993">
        <w:rPr>
          <w:bCs/>
        </w:rPr>
        <w:t xml:space="preserve"> in preventing stroke- </w:t>
      </w:r>
      <w:r w:rsidR="00CE0993">
        <w:rPr>
          <w:lang w:val="en"/>
        </w:rPr>
        <w:t>approximately 143 people would need to be treated for 5.4 years to prevent 1 stroke.</w:t>
      </w:r>
      <w:r w:rsidR="00CE0993">
        <w:rPr>
          <w:vertAlign w:val="superscript"/>
          <w:lang w:val="en"/>
        </w:rPr>
        <w:t>11</w:t>
      </w:r>
    </w:p>
    <w:p w14:paraId="6554BCC5" w14:textId="77777777" w:rsidR="00E51102" w:rsidRDefault="00E51102">
      <w:pPr>
        <w:rPr>
          <w:bCs/>
        </w:rPr>
      </w:pPr>
    </w:p>
    <w:p w14:paraId="6378FAC4" w14:textId="02A3D949" w:rsidR="009D6BB8" w:rsidRPr="009D6BB8" w:rsidRDefault="00CE0993" w:rsidP="009D6BB8">
      <w:pPr>
        <w:rPr>
          <w:bCs/>
        </w:rPr>
      </w:pPr>
      <w:proofErr w:type="spellStart"/>
      <w:r>
        <w:rPr>
          <w:bCs/>
        </w:rPr>
        <w:t>H</w:t>
      </w:r>
      <w:r w:rsidR="00E51102">
        <w:rPr>
          <w:bCs/>
        </w:rPr>
        <w:t>yperhomocysteine</w:t>
      </w:r>
      <w:proofErr w:type="spellEnd"/>
      <w:r w:rsidR="00E51102">
        <w:rPr>
          <w:bCs/>
        </w:rPr>
        <w:t xml:space="preserve"> is </w:t>
      </w:r>
      <w:r>
        <w:rPr>
          <w:bCs/>
        </w:rPr>
        <w:t xml:space="preserve">also </w:t>
      </w:r>
      <w:r w:rsidR="00E51102">
        <w:rPr>
          <w:bCs/>
        </w:rPr>
        <w:t>a risk factor for venous thromboembolic disease.  Ray et al</w:t>
      </w:r>
      <w:r w:rsidR="005243F8">
        <w:rPr>
          <w:bCs/>
        </w:rPr>
        <w:t>.</w:t>
      </w:r>
      <w:r w:rsidR="00E51102">
        <w:rPr>
          <w:bCs/>
        </w:rPr>
        <w:t xml:space="preserve"> performed a meta-analysis of 9 case control studies measuring fasting plasma </w:t>
      </w:r>
      <w:proofErr w:type="spellStart"/>
      <w:r w:rsidR="00E51102">
        <w:rPr>
          <w:bCs/>
        </w:rPr>
        <w:t>homocystine</w:t>
      </w:r>
      <w:proofErr w:type="spellEnd"/>
      <w:r w:rsidR="00E51102">
        <w:rPr>
          <w:bCs/>
        </w:rPr>
        <w:t>, as well as 5 studies measured after methionine loading.  All 9 studies demonstrated a similar trend in the levels and the associated risk for venous thro</w:t>
      </w:r>
      <w:r w:rsidR="00BE691C">
        <w:rPr>
          <w:bCs/>
        </w:rPr>
        <w:t>mboembolism; following methioni</w:t>
      </w:r>
      <w:r w:rsidR="00E51102">
        <w:rPr>
          <w:bCs/>
        </w:rPr>
        <w:t>ne loading</w:t>
      </w:r>
      <w:r w:rsidR="00BE691C">
        <w:rPr>
          <w:bCs/>
        </w:rPr>
        <w:t>,</w:t>
      </w:r>
      <w:r w:rsidR="00E51102">
        <w:rPr>
          <w:bCs/>
        </w:rPr>
        <w:t xml:space="preserve"> the trend increased toward the risk of venous thromboembolism.</w:t>
      </w:r>
      <w:r w:rsidR="00E51102">
        <w:rPr>
          <w:bCs/>
          <w:vertAlign w:val="superscript"/>
        </w:rPr>
        <w:t>9</w:t>
      </w:r>
      <w:proofErr w:type="gramStart"/>
      <w:r w:rsidR="00E51102">
        <w:rPr>
          <w:bCs/>
          <w:vertAlign w:val="superscript"/>
        </w:rPr>
        <w:t>,10</w:t>
      </w:r>
      <w:proofErr w:type="gramEnd"/>
      <w:r w:rsidR="00E51102">
        <w:rPr>
          <w:bCs/>
          <w:vertAlign w:val="superscript"/>
        </w:rPr>
        <w:t xml:space="preserve">  </w:t>
      </w:r>
      <w:proofErr w:type="spellStart"/>
      <w:r w:rsidR="00FD765F">
        <w:rPr>
          <w:bCs/>
        </w:rPr>
        <w:t>H</w:t>
      </w:r>
      <w:r w:rsidR="009D6BB8" w:rsidRPr="00601301">
        <w:rPr>
          <w:bCs/>
        </w:rPr>
        <w:t>yperhomocysteinemia</w:t>
      </w:r>
      <w:proofErr w:type="spellEnd"/>
      <w:r w:rsidR="009D6BB8" w:rsidRPr="00601301">
        <w:rPr>
          <w:bCs/>
        </w:rPr>
        <w:t xml:space="preserve"> </w:t>
      </w:r>
      <w:r w:rsidR="00FD765F">
        <w:rPr>
          <w:bCs/>
        </w:rPr>
        <w:t xml:space="preserve">has been </w:t>
      </w:r>
      <w:r w:rsidR="00FD765F" w:rsidRPr="00FD765F">
        <w:rPr>
          <w:bCs/>
        </w:rPr>
        <w:t>associated with venous thromboembolic disease in some but not all studies</w:t>
      </w:r>
      <w:r w:rsidR="00FD765F">
        <w:rPr>
          <w:bCs/>
        </w:rPr>
        <w:t xml:space="preserve">. </w:t>
      </w:r>
      <w:r w:rsidR="00FD765F" w:rsidRPr="00FD765F">
        <w:rPr>
          <w:bCs/>
        </w:rPr>
        <w:t xml:space="preserve">Additional research, however, has concluded that associations between </w:t>
      </w:r>
      <w:r w:rsidR="00354A1D">
        <w:rPr>
          <w:bCs/>
        </w:rPr>
        <w:t>“mild”</w:t>
      </w:r>
      <w:r w:rsidR="00503F38">
        <w:rPr>
          <w:bCs/>
        </w:rPr>
        <w:t xml:space="preserve"> </w:t>
      </w:r>
      <w:proofErr w:type="spellStart"/>
      <w:r w:rsidR="00FD765F" w:rsidRPr="00FD765F">
        <w:rPr>
          <w:bCs/>
        </w:rPr>
        <w:t>hyperhomocysteinemia</w:t>
      </w:r>
      <w:proofErr w:type="spellEnd"/>
      <w:r w:rsidR="00FD765F" w:rsidRPr="00FD765F">
        <w:rPr>
          <w:bCs/>
        </w:rPr>
        <w:t xml:space="preserve"> and the VTE may have been due to confounding</w:t>
      </w:r>
      <w:r w:rsidR="00471FC3">
        <w:rPr>
          <w:bCs/>
        </w:rPr>
        <w:t>.</w:t>
      </w:r>
      <w:r w:rsidR="00FD765F" w:rsidRPr="00FD765F">
        <w:rPr>
          <w:bCs/>
        </w:rPr>
        <w:t xml:space="preserve"> </w:t>
      </w:r>
      <w:r w:rsidR="00FD765F" w:rsidRPr="00601301">
        <w:rPr>
          <w:bCs/>
          <w:vertAlign w:val="superscript"/>
        </w:rPr>
        <w:t xml:space="preserve">17 </w:t>
      </w:r>
      <w:r w:rsidR="00F946EE">
        <w:rPr>
          <w:bCs/>
          <w:vertAlign w:val="superscript"/>
        </w:rPr>
        <w:t xml:space="preserve"> </w:t>
      </w:r>
      <w:r w:rsidR="00F946EE" w:rsidRPr="00601301">
        <w:rPr>
          <w:bCs/>
        </w:rPr>
        <w:t xml:space="preserve"> </w:t>
      </w:r>
      <w:r w:rsidR="00F946EE" w:rsidRPr="00F946EE">
        <w:rPr>
          <w:bCs/>
        </w:rPr>
        <w:t>T</w:t>
      </w:r>
      <w:r w:rsidR="00F946EE" w:rsidRPr="00601301">
        <w:rPr>
          <w:bCs/>
        </w:rPr>
        <w:t xml:space="preserve">he measurement of </w:t>
      </w:r>
      <w:proofErr w:type="spellStart"/>
      <w:r w:rsidR="00F946EE" w:rsidRPr="00601301">
        <w:rPr>
          <w:bCs/>
        </w:rPr>
        <w:t>homocysteinemia</w:t>
      </w:r>
      <w:proofErr w:type="spellEnd"/>
      <w:r w:rsidR="00F946EE" w:rsidRPr="00601301">
        <w:rPr>
          <w:bCs/>
        </w:rPr>
        <w:t xml:space="preserve"> may be indicated in unexplained idiopathic venous thrombosis, or recurrent episodes or venous thrombosis </w:t>
      </w:r>
      <w:r w:rsidR="00F946EE">
        <w:rPr>
          <w:bCs/>
        </w:rPr>
        <w:t xml:space="preserve">that </w:t>
      </w:r>
      <w:r w:rsidR="00F946EE" w:rsidRPr="00601301">
        <w:rPr>
          <w:bCs/>
        </w:rPr>
        <w:t>occurred at an early age or at an uncommon site.</w:t>
      </w:r>
      <w:r w:rsidR="00F946EE" w:rsidRPr="00601301">
        <w:rPr>
          <w:bCs/>
          <w:vertAlign w:val="superscript"/>
        </w:rPr>
        <w:t>19</w:t>
      </w:r>
    </w:p>
    <w:p w14:paraId="3B846E3B" w14:textId="5F223FC4" w:rsidR="009D6BB8" w:rsidRPr="00601301" w:rsidRDefault="009D6BB8" w:rsidP="009D6BB8">
      <w:pPr>
        <w:rPr>
          <w:bCs/>
        </w:rPr>
      </w:pPr>
    </w:p>
    <w:p w14:paraId="6554BCC8" w14:textId="77777777" w:rsidR="005243F8" w:rsidRPr="005243F8" w:rsidRDefault="005243F8">
      <w:pPr>
        <w:rPr>
          <w:bCs/>
        </w:rPr>
      </w:pPr>
      <w:r w:rsidRPr="005243F8">
        <w:rPr>
          <w:bCs/>
        </w:rPr>
        <w:t xml:space="preserve">High levels of serum homocysteine have been proposed as a </w:t>
      </w:r>
      <w:r>
        <w:rPr>
          <w:bCs/>
        </w:rPr>
        <w:t>risk factor for dementia, and several studies have evaluated the role of B-vitamin supplementation in lowering homocysteine and thus improving cognitive function, or preventing cognitive decline. A meta-analysis by Clarke et al. determined that B-vitamin supplementation significantly reduced homocysteine levels, but did not have a clinically significant effect on global cognitive function or on cognitive aging.</w:t>
      </w:r>
      <w:r>
        <w:rPr>
          <w:bCs/>
          <w:vertAlign w:val="superscript"/>
        </w:rPr>
        <w:t xml:space="preserve">12 </w:t>
      </w:r>
      <w:r>
        <w:rPr>
          <w:bCs/>
        </w:rPr>
        <w:t>In contrast, a 2018 International Consensus Statement argues</w:t>
      </w:r>
      <w:r w:rsidR="004D2389">
        <w:rPr>
          <w:bCs/>
        </w:rPr>
        <w:t xml:space="preserve"> for</w:t>
      </w:r>
      <w:r>
        <w:rPr>
          <w:bCs/>
        </w:rPr>
        <w:t xml:space="preserve"> the presence of a causal relationship between homocysteine levels and cognitive decline</w:t>
      </w:r>
      <w:r w:rsidR="004D2389">
        <w:rPr>
          <w:bCs/>
        </w:rPr>
        <w:t xml:space="preserve">, and for screening for </w:t>
      </w:r>
      <w:proofErr w:type="spellStart"/>
      <w:r w:rsidR="004D2389">
        <w:rPr>
          <w:bCs/>
        </w:rPr>
        <w:t>hyperhomocysteine</w:t>
      </w:r>
      <w:proofErr w:type="spellEnd"/>
      <w:r w:rsidR="004D2389">
        <w:rPr>
          <w:bCs/>
        </w:rPr>
        <w:t xml:space="preserve"> and treatment with B vitamins in patients presenting to memory clinics</w:t>
      </w:r>
      <w:r w:rsidR="00B2395A">
        <w:rPr>
          <w:bCs/>
        </w:rPr>
        <w:t>.</w:t>
      </w:r>
      <w:r w:rsidR="004D2389">
        <w:rPr>
          <w:bCs/>
          <w:vertAlign w:val="superscript"/>
        </w:rPr>
        <w:t>13</w:t>
      </w:r>
      <w:r w:rsidR="00B2395A">
        <w:rPr>
          <w:bCs/>
        </w:rPr>
        <w:t xml:space="preserve"> </w:t>
      </w:r>
      <w:r w:rsidR="004D2389">
        <w:rPr>
          <w:bCs/>
        </w:rPr>
        <w:t>However, t</w:t>
      </w:r>
      <w:r w:rsidR="00B2395A">
        <w:rPr>
          <w:bCs/>
        </w:rPr>
        <w:t>he consensus body notes that 76% of the participants in the trials in the largest meta-analysis on the topic did not include baseline measures of cognitive function</w:t>
      </w:r>
      <w:r w:rsidR="004D2389">
        <w:rPr>
          <w:bCs/>
        </w:rPr>
        <w:t xml:space="preserve">, and thus couldn’t adequately compare the intervention group to the placebo group. </w:t>
      </w:r>
      <w:r w:rsidR="00B2395A">
        <w:rPr>
          <w:bCs/>
        </w:rPr>
        <w:t xml:space="preserve"> </w:t>
      </w:r>
      <w:r w:rsidR="004D2389">
        <w:rPr>
          <w:bCs/>
        </w:rPr>
        <w:t>Furthermore, they point</w:t>
      </w:r>
      <w:r w:rsidR="00B2395A">
        <w:rPr>
          <w:bCs/>
        </w:rPr>
        <w:t xml:space="preserve"> to the lack of an established homocysteine </w:t>
      </w:r>
      <w:r w:rsidR="004D2389">
        <w:rPr>
          <w:bCs/>
        </w:rPr>
        <w:t>threshold for intervention, which reduces the clinical relevance of the measure.</w:t>
      </w:r>
    </w:p>
    <w:p w14:paraId="6554BCC9" w14:textId="77777777" w:rsidR="00E51102" w:rsidRPr="000465DE" w:rsidRDefault="00E51102">
      <w:pPr>
        <w:rPr>
          <w:b/>
          <w:bCs/>
        </w:rPr>
      </w:pPr>
    </w:p>
    <w:p w14:paraId="6554BCCA" w14:textId="77777777" w:rsidR="00E51102" w:rsidRPr="00B777AF" w:rsidRDefault="00E51102" w:rsidP="00170B14">
      <w:pPr>
        <w:rPr>
          <w:b/>
        </w:rPr>
      </w:pPr>
      <w:bookmarkStart w:id="1" w:name="Coding_Implications"/>
      <w:r w:rsidRPr="00B777AF">
        <w:rPr>
          <w:b/>
        </w:rPr>
        <w:t>Coding Implications</w:t>
      </w:r>
    </w:p>
    <w:bookmarkEnd w:id="1"/>
    <w:p w14:paraId="6554BCCB" w14:textId="25E8DDED" w:rsidR="00E51102" w:rsidRDefault="00E51102" w:rsidP="00AF5490">
      <w:r w:rsidRPr="00507DC0">
        <w:lastRenderedPageBreak/>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201</w:t>
      </w:r>
      <w:r w:rsidR="00BE7311">
        <w:t>9</w:t>
      </w:r>
      <w:r w:rsidRPr="00507DC0">
        <w:t>,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6554BCCC" w14:textId="77777777" w:rsidR="00E51102" w:rsidRPr="00A85489" w:rsidRDefault="00E51102" w:rsidP="00AF5490"/>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08"/>
        <w:gridCol w:w="7816"/>
      </w:tblGrid>
      <w:tr w:rsidR="00E51102" w:rsidRPr="00B777AF" w14:paraId="6554BCCF" w14:textId="77777777" w:rsidTr="000002A7">
        <w:trPr>
          <w:tblHeader/>
        </w:trPr>
        <w:tc>
          <w:tcPr>
            <w:tcW w:w="1138" w:type="dxa"/>
            <w:shd w:val="clear" w:color="auto" w:fill="00548C"/>
          </w:tcPr>
          <w:p w14:paraId="6554BCCD" w14:textId="77777777" w:rsidR="00E51102" w:rsidRPr="000002A7" w:rsidRDefault="00E51102" w:rsidP="00C10DF0">
            <w:pPr>
              <w:rPr>
                <w:b/>
                <w:bCs/>
                <w:color w:val="FFFFFF"/>
              </w:rPr>
            </w:pPr>
            <w:r w:rsidRPr="000002A7">
              <w:rPr>
                <w:b/>
                <w:color w:val="FFFFFF"/>
              </w:rPr>
              <w:t>CPT</w:t>
            </w:r>
            <w:r w:rsidRPr="000002A7">
              <w:rPr>
                <w:b/>
                <w:color w:val="FFFFFF"/>
                <w:vertAlign w:val="superscript"/>
              </w:rPr>
              <w:t>®</w:t>
            </w:r>
            <w:r w:rsidRPr="000002A7">
              <w:rPr>
                <w:b/>
                <w:color w:val="FFFFFF"/>
              </w:rPr>
              <w:t xml:space="preserve"> Codes </w:t>
            </w:r>
          </w:p>
        </w:tc>
        <w:tc>
          <w:tcPr>
            <w:tcW w:w="8510" w:type="dxa"/>
            <w:shd w:val="clear" w:color="auto" w:fill="00548C"/>
          </w:tcPr>
          <w:p w14:paraId="6554BCCE" w14:textId="77777777" w:rsidR="00E51102" w:rsidRPr="000002A7" w:rsidRDefault="00E51102" w:rsidP="00C10DF0">
            <w:pPr>
              <w:rPr>
                <w:b/>
                <w:bCs/>
                <w:color w:val="FFFFFF"/>
              </w:rPr>
            </w:pPr>
            <w:r w:rsidRPr="000002A7">
              <w:rPr>
                <w:b/>
                <w:color w:val="FFFFFF"/>
              </w:rPr>
              <w:t>Description</w:t>
            </w:r>
          </w:p>
        </w:tc>
      </w:tr>
      <w:tr w:rsidR="00E51102" w:rsidRPr="005144C0" w14:paraId="6554BCD2" w14:textId="77777777" w:rsidTr="000002A7">
        <w:tc>
          <w:tcPr>
            <w:tcW w:w="1138" w:type="dxa"/>
          </w:tcPr>
          <w:p w14:paraId="6554BCD0" w14:textId="77777777" w:rsidR="00E51102" w:rsidRPr="000002A7" w:rsidRDefault="00E51102" w:rsidP="00C10DF0">
            <w:pPr>
              <w:rPr>
                <w:bCs/>
              </w:rPr>
            </w:pPr>
            <w:r w:rsidRPr="000002A7">
              <w:rPr>
                <w:bCs/>
              </w:rPr>
              <w:t>83090</w:t>
            </w:r>
          </w:p>
        </w:tc>
        <w:tc>
          <w:tcPr>
            <w:tcW w:w="8510" w:type="dxa"/>
          </w:tcPr>
          <w:p w14:paraId="6554BCD1" w14:textId="77777777" w:rsidR="00E51102" w:rsidRPr="000002A7" w:rsidRDefault="00E51102" w:rsidP="00C10DF0">
            <w:pPr>
              <w:rPr>
                <w:bCs/>
              </w:rPr>
            </w:pPr>
            <w:r w:rsidRPr="000002A7">
              <w:rPr>
                <w:bCs/>
              </w:rPr>
              <w:t>Homocysteine</w:t>
            </w:r>
          </w:p>
        </w:tc>
      </w:tr>
    </w:tbl>
    <w:p w14:paraId="6554BCD3" w14:textId="77777777" w:rsidR="00E51102" w:rsidRDefault="00E51102" w:rsidP="00AF5490"/>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27"/>
        <w:gridCol w:w="7797"/>
      </w:tblGrid>
      <w:tr w:rsidR="00E51102" w:rsidRPr="00B777AF" w14:paraId="6554BCD6" w14:textId="77777777" w:rsidTr="000002A7">
        <w:trPr>
          <w:tblHeader/>
        </w:trPr>
        <w:tc>
          <w:tcPr>
            <w:tcW w:w="1138" w:type="dxa"/>
            <w:shd w:val="clear" w:color="auto" w:fill="00548C"/>
          </w:tcPr>
          <w:p w14:paraId="6554BCD4" w14:textId="77777777" w:rsidR="00E51102" w:rsidRPr="000002A7" w:rsidRDefault="00E51102" w:rsidP="00556CBA">
            <w:pPr>
              <w:rPr>
                <w:b/>
                <w:bCs/>
                <w:color w:val="FFFFFF"/>
              </w:rPr>
            </w:pPr>
            <w:r w:rsidRPr="000002A7">
              <w:rPr>
                <w:b/>
                <w:color w:val="FFFFFF"/>
              </w:rPr>
              <w:t xml:space="preserve">HCPCS Codes </w:t>
            </w:r>
          </w:p>
        </w:tc>
        <w:tc>
          <w:tcPr>
            <w:tcW w:w="8510" w:type="dxa"/>
            <w:shd w:val="clear" w:color="auto" w:fill="00548C"/>
          </w:tcPr>
          <w:p w14:paraId="6554BCD5" w14:textId="77777777" w:rsidR="00E51102" w:rsidRPr="000002A7" w:rsidRDefault="00E51102" w:rsidP="00556CBA">
            <w:pPr>
              <w:rPr>
                <w:b/>
                <w:bCs/>
                <w:color w:val="FFFFFF"/>
              </w:rPr>
            </w:pPr>
            <w:r w:rsidRPr="000002A7">
              <w:rPr>
                <w:b/>
                <w:color w:val="FFFFFF"/>
              </w:rPr>
              <w:t>Description</w:t>
            </w:r>
          </w:p>
        </w:tc>
      </w:tr>
      <w:tr w:rsidR="00E51102" w:rsidRPr="005144C0" w14:paraId="6554BCD9" w14:textId="77777777" w:rsidTr="000002A7">
        <w:tc>
          <w:tcPr>
            <w:tcW w:w="1138" w:type="dxa"/>
          </w:tcPr>
          <w:p w14:paraId="6554BCD7" w14:textId="77777777" w:rsidR="00E51102" w:rsidRPr="000002A7" w:rsidRDefault="00E51102" w:rsidP="00556CBA">
            <w:pPr>
              <w:rPr>
                <w:bCs/>
              </w:rPr>
            </w:pPr>
            <w:r>
              <w:rPr>
                <w:bCs/>
              </w:rPr>
              <w:t>N/A</w:t>
            </w:r>
          </w:p>
        </w:tc>
        <w:tc>
          <w:tcPr>
            <w:tcW w:w="8510" w:type="dxa"/>
          </w:tcPr>
          <w:p w14:paraId="6554BCD8" w14:textId="77777777" w:rsidR="00E51102" w:rsidRPr="000002A7" w:rsidRDefault="00E51102" w:rsidP="00556CBA">
            <w:pPr>
              <w:rPr>
                <w:bCs/>
              </w:rPr>
            </w:pPr>
          </w:p>
        </w:tc>
      </w:tr>
    </w:tbl>
    <w:p w14:paraId="6554BCDA" w14:textId="77777777" w:rsidR="00E51102" w:rsidRDefault="00E51102" w:rsidP="00AF5490"/>
    <w:p w14:paraId="6554BCDB" w14:textId="77777777" w:rsidR="00E51102" w:rsidRPr="00350F22" w:rsidRDefault="00E51102" w:rsidP="00AF5490">
      <w:pPr>
        <w:rPr>
          <w:b/>
        </w:rPr>
      </w:pPr>
      <w:r w:rsidRPr="00350F22">
        <w:rPr>
          <w:b/>
        </w:rPr>
        <w:t>ICD-10-CM Diagnosis Codes that Support Coverage Criteria</w:t>
      </w:r>
    </w:p>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617"/>
        <w:gridCol w:w="7307"/>
      </w:tblGrid>
      <w:tr w:rsidR="00E51102" w:rsidRPr="00B777AF" w14:paraId="6554BCDE" w14:textId="77777777" w:rsidTr="000002A7">
        <w:trPr>
          <w:tblHeader/>
        </w:trPr>
        <w:tc>
          <w:tcPr>
            <w:tcW w:w="1638" w:type="dxa"/>
            <w:shd w:val="clear" w:color="auto" w:fill="00548C"/>
          </w:tcPr>
          <w:p w14:paraId="6554BCDC" w14:textId="77777777" w:rsidR="00E51102" w:rsidRPr="000002A7" w:rsidRDefault="00E51102" w:rsidP="00350F22">
            <w:pPr>
              <w:rPr>
                <w:b/>
                <w:bCs/>
                <w:color w:val="FFFFFF"/>
              </w:rPr>
            </w:pPr>
            <w:r w:rsidRPr="000002A7">
              <w:rPr>
                <w:b/>
                <w:color w:val="FFFFFF"/>
              </w:rPr>
              <w:t>ICD-10-CM Code</w:t>
            </w:r>
          </w:p>
        </w:tc>
        <w:tc>
          <w:tcPr>
            <w:tcW w:w="7501" w:type="dxa"/>
            <w:shd w:val="clear" w:color="auto" w:fill="00548C"/>
          </w:tcPr>
          <w:p w14:paraId="6554BCDD" w14:textId="77777777" w:rsidR="00E51102" w:rsidRPr="000002A7" w:rsidRDefault="00E51102" w:rsidP="00F91367">
            <w:pPr>
              <w:rPr>
                <w:b/>
                <w:bCs/>
                <w:color w:val="FFFFFF"/>
              </w:rPr>
            </w:pPr>
            <w:r w:rsidRPr="000002A7">
              <w:rPr>
                <w:b/>
                <w:color w:val="FFFFFF"/>
              </w:rPr>
              <w:t>Description</w:t>
            </w:r>
          </w:p>
        </w:tc>
      </w:tr>
      <w:tr w:rsidR="00F91C6F" w:rsidRPr="005144C0" w14:paraId="6554BCE1" w14:textId="77777777" w:rsidTr="000002A7">
        <w:tc>
          <w:tcPr>
            <w:tcW w:w="1638" w:type="dxa"/>
          </w:tcPr>
          <w:p w14:paraId="6554BCDF" w14:textId="77777777" w:rsidR="00F91C6F" w:rsidRDefault="00F91C6F" w:rsidP="00F91C6F">
            <w:pPr>
              <w:rPr>
                <w:bCs/>
              </w:rPr>
            </w:pPr>
            <w:r>
              <w:rPr>
                <w:bCs/>
              </w:rPr>
              <w:t>D51.0-D51.9</w:t>
            </w:r>
          </w:p>
        </w:tc>
        <w:tc>
          <w:tcPr>
            <w:tcW w:w="7501" w:type="dxa"/>
          </w:tcPr>
          <w:p w14:paraId="6554BCE0" w14:textId="77777777" w:rsidR="00F91C6F" w:rsidRDefault="00F91C6F" w:rsidP="00F91367">
            <w:pPr>
              <w:rPr>
                <w:bCs/>
              </w:rPr>
            </w:pPr>
            <w:r>
              <w:rPr>
                <w:bCs/>
              </w:rPr>
              <w:t>Vitamin B12 deficiency anemia</w:t>
            </w:r>
          </w:p>
        </w:tc>
      </w:tr>
      <w:tr w:rsidR="00E51102" w:rsidRPr="005144C0" w14:paraId="6554BCE4" w14:textId="77777777" w:rsidTr="000002A7">
        <w:tc>
          <w:tcPr>
            <w:tcW w:w="1638" w:type="dxa"/>
          </w:tcPr>
          <w:p w14:paraId="6554BCE2" w14:textId="77777777" w:rsidR="00E51102" w:rsidRPr="000002A7" w:rsidRDefault="00E51102" w:rsidP="00F91367">
            <w:pPr>
              <w:rPr>
                <w:bCs/>
              </w:rPr>
            </w:pPr>
            <w:r>
              <w:rPr>
                <w:bCs/>
              </w:rPr>
              <w:t>E53.8</w:t>
            </w:r>
          </w:p>
        </w:tc>
        <w:tc>
          <w:tcPr>
            <w:tcW w:w="7501" w:type="dxa"/>
          </w:tcPr>
          <w:p w14:paraId="6554BCE3" w14:textId="77777777" w:rsidR="00E51102" w:rsidRPr="000002A7" w:rsidRDefault="00E51102" w:rsidP="00F91367">
            <w:pPr>
              <w:rPr>
                <w:bCs/>
              </w:rPr>
            </w:pPr>
            <w:r>
              <w:rPr>
                <w:bCs/>
              </w:rPr>
              <w:t>Deficiency of other unspecified B group vitamins</w:t>
            </w:r>
          </w:p>
        </w:tc>
      </w:tr>
      <w:tr w:rsidR="00C61BAF" w:rsidRPr="005144C0" w14:paraId="6554BCE7" w14:textId="77777777" w:rsidTr="000002A7">
        <w:tc>
          <w:tcPr>
            <w:tcW w:w="1638" w:type="dxa"/>
          </w:tcPr>
          <w:p w14:paraId="6554BCE5" w14:textId="77777777" w:rsidR="00C61BAF" w:rsidRDefault="00C61BAF" w:rsidP="00F91367">
            <w:pPr>
              <w:rPr>
                <w:bCs/>
              </w:rPr>
            </w:pPr>
            <w:r>
              <w:rPr>
                <w:bCs/>
              </w:rPr>
              <w:t>E72.10</w:t>
            </w:r>
          </w:p>
        </w:tc>
        <w:tc>
          <w:tcPr>
            <w:tcW w:w="7501" w:type="dxa"/>
          </w:tcPr>
          <w:p w14:paraId="6554BCE6" w14:textId="77777777" w:rsidR="00C61BAF" w:rsidRDefault="00C61BAF" w:rsidP="00F91367">
            <w:pPr>
              <w:rPr>
                <w:bCs/>
              </w:rPr>
            </w:pPr>
            <w:r>
              <w:rPr>
                <w:bCs/>
              </w:rPr>
              <w:t>Disorders of sulfur-bearing amino-acid metabolism, unspecified</w:t>
            </w:r>
          </w:p>
        </w:tc>
      </w:tr>
      <w:tr w:rsidR="00E51102" w:rsidRPr="005144C0" w14:paraId="6554BCEA" w14:textId="77777777" w:rsidTr="000002A7">
        <w:tc>
          <w:tcPr>
            <w:tcW w:w="1638" w:type="dxa"/>
          </w:tcPr>
          <w:p w14:paraId="6554BCE8" w14:textId="77777777" w:rsidR="00E51102" w:rsidRDefault="00E51102" w:rsidP="00F91367">
            <w:pPr>
              <w:rPr>
                <w:bCs/>
              </w:rPr>
            </w:pPr>
            <w:r>
              <w:rPr>
                <w:bCs/>
              </w:rPr>
              <w:t>E72.11</w:t>
            </w:r>
          </w:p>
        </w:tc>
        <w:tc>
          <w:tcPr>
            <w:tcW w:w="7501" w:type="dxa"/>
          </w:tcPr>
          <w:p w14:paraId="6554BCE9" w14:textId="77777777" w:rsidR="00E51102" w:rsidRDefault="00E51102" w:rsidP="00F91367">
            <w:pPr>
              <w:rPr>
                <w:bCs/>
              </w:rPr>
            </w:pPr>
            <w:proofErr w:type="spellStart"/>
            <w:r>
              <w:rPr>
                <w:bCs/>
              </w:rPr>
              <w:t>Homocystinuria</w:t>
            </w:r>
            <w:proofErr w:type="spellEnd"/>
          </w:p>
        </w:tc>
      </w:tr>
      <w:tr w:rsidR="00F91C6F" w:rsidRPr="005144C0" w14:paraId="6554BCED" w14:textId="77777777" w:rsidTr="000002A7">
        <w:tc>
          <w:tcPr>
            <w:tcW w:w="1638" w:type="dxa"/>
          </w:tcPr>
          <w:p w14:paraId="6554BCEB" w14:textId="77777777" w:rsidR="00F91C6F" w:rsidRDefault="00F91C6F" w:rsidP="00F91C6F">
            <w:pPr>
              <w:rPr>
                <w:bCs/>
              </w:rPr>
            </w:pPr>
            <w:r>
              <w:rPr>
                <w:bCs/>
              </w:rPr>
              <w:t>E72.19</w:t>
            </w:r>
          </w:p>
        </w:tc>
        <w:tc>
          <w:tcPr>
            <w:tcW w:w="7501" w:type="dxa"/>
          </w:tcPr>
          <w:p w14:paraId="6554BCEC" w14:textId="77777777" w:rsidR="00F91C6F" w:rsidRDefault="00F91C6F" w:rsidP="00F91C6F">
            <w:pPr>
              <w:rPr>
                <w:bCs/>
              </w:rPr>
            </w:pPr>
            <w:r>
              <w:rPr>
                <w:bCs/>
              </w:rPr>
              <w:t xml:space="preserve">Other disorders of </w:t>
            </w:r>
            <w:proofErr w:type="spellStart"/>
            <w:r>
              <w:rPr>
                <w:bCs/>
              </w:rPr>
              <w:t>sul</w:t>
            </w:r>
            <w:r w:rsidR="002E7F7F">
              <w:rPr>
                <w:bCs/>
              </w:rPr>
              <w:t>phu</w:t>
            </w:r>
            <w:r>
              <w:rPr>
                <w:bCs/>
              </w:rPr>
              <w:t>r</w:t>
            </w:r>
            <w:proofErr w:type="spellEnd"/>
            <w:r>
              <w:rPr>
                <w:bCs/>
              </w:rPr>
              <w:t>-bearing amino-acid metabolism</w:t>
            </w:r>
          </w:p>
        </w:tc>
      </w:tr>
      <w:tr w:rsidR="00200A90" w:rsidRPr="005144C0" w14:paraId="6554BCF0" w14:textId="77777777" w:rsidTr="000002A7">
        <w:tc>
          <w:tcPr>
            <w:tcW w:w="1638" w:type="dxa"/>
          </w:tcPr>
          <w:p w14:paraId="6554BCEE" w14:textId="77777777" w:rsidR="00200A90" w:rsidRDefault="00200A90" w:rsidP="00F91367">
            <w:pPr>
              <w:rPr>
                <w:bCs/>
              </w:rPr>
            </w:pPr>
            <w:r>
              <w:rPr>
                <w:bCs/>
              </w:rPr>
              <w:t>I26.01-I26.99</w:t>
            </w:r>
          </w:p>
        </w:tc>
        <w:tc>
          <w:tcPr>
            <w:tcW w:w="7501" w:type="dxa"/>
          </w:tcPr>
          <w:p w14:paraId="6554BCEF" w14:textId="77777777" w:rsidR="00200A90" w:rsidRDefault="00200A90" w:rsidP="00F91367">
            <w:pPr>
              <w:rPr>
                <w:bCs/>
              </w:rPr>
            </w:pPr>
            <w:r>
              <w:rPr>
                <w:bCs/>
              </w:rPr>
              <w:t>Pulmonary embolism</w:t>
            </w:r>
          </w:p>
        </w:tc>
      </w:tr>
      <w:tr w:rsidR="00200A90" w:rsidRPr="005144C0" w14:paraId="6554BCF3" w14:textId="77777777" w:rsidTr="000002A7">
        <w:tc>
          <w:tcPr>
            <w:tcW w:w="1638" w:type="dxa"/>
          </w:tcPr>
          <w:p w14:paraId="6554BCF1" w14:textId="77777777" w:rsidR="00200A90" w:rsidRDefault="00200A90" w:rsidP="00F91367">
            <w:pPr>
              <w:rPr>
                <w:bCs/>
              </w:rPr>
            </w:pPr>
            <w:r>
              <w:rPr>
                <w:bCs/>
              </w:rPr>
              <w:t>I81</w:t>
            </w:r>
          </w:p>
        </w:tc>
        <w:tc>
          <w:tcPr>
            <w:tcW w:w="7501" w:type="dxa"/>
          </w:tcPr>
          <w:p w14:paraId="6554BCF2" w14:textId="77777777" w:rsidR="00200A90" w:rsidRDefault="00200A90" w:rsidP="00F91367">
            <w:pPr>
              <w:rPr>
                <w:bCs/>
              </w:rPr>
            </w:pPr>
            <w:r>
              <w:rPr>
                <w:bCs/>
              </w:rPr>
              <w:t>Portal vein thrombosis</w:t>
            </w:r>
          </w:p>
        </w:tc>
      </w:tr>
      <w:tr w:rsidR="00E51102" w:rsidRPr="005144C0" w14:paraId="6554BCF6" w14:textId="77777777" w:rsidTr="000002A7">
        <w:tc>
          <w:tcPr>
            <w:tcW w:w="1638" w:type="dxa"/>
          </w:tcPr>
          <w:p w14:paraId="6554BCF4" w14:textId="77777777" w:rsidR="00E51102" w:rsidRDefault="00E51102" w:rsidP="00F91367">
            <w:pPr>
              <w:rPr>
                <w:bCs/>
              </w:rPr>
            </w:pPr>
            <w:r>
              <w:rPr>
                <w:bCs/>
              </w:rPr>
              <w:t>I82.0-I82.</w:t>
            </w:r>
            <w:r w:rsidR="00F91C6F">
              <w:rPr>
                <w:bCs/>
              </w:rPr>
              <w:t>9</w:t>
            </w:r>
            <w:r>
              <w:rPr>
                <w:bCs/>
              </w:rPr>
              <w:t>1</w:t>
            </w:r>
          </w:p>
        </w:tc>
        <w:tc>
          <w:tcPr>
            <w:tcW w:w="7501" w:type="dxa"/>
          </w:tcPr>
          <w:p w14:paraId="6554BCF5" w14:textId="77777777" w:rsidR="00E51102" w:rsidRDefault="00E51102" w:rsidP="00F91367">
            <w:pPr>
              <w:rPr>
                <w:bCs/>
              </w:rPr>
            </w:pPr>
            <w:r>
              <w:rPr>
                <w:bCs/>
              </w:rPr>
              <w:t>Other venous embolism and thrombosis</w:t>
            </w:r>
          </w:p>
        </w:tc>
      </w:tr>
      <w:tr w:rsidR="00F91C6F" w:rsidRPr="005144C0" w14:paraId="6554BCF9" w14:textId="77777777" w:rsidTr="000002A7">
        <w:tc>
          <w:tcPr>
            <w:tcW w:w="1638" w:type="dxa"/>
          </w:tcPr>
          <w:p w14:paraId="6554BCF7" w14:textId="77777777" w:rsidR="00F91C6F" w:rsidRDefault="00F91C6F" w:rsidP="00F91367">
            <w:pPr>
              <w:rPr>
                <w:bCs/>
              </w:rPr>
            </w:pPr>
            <w:r>
              <w:rPr>
                <w:bCs/>
              </w:rPr>
              <w:t>Z86.711</w:t>
            </w:r>
          </w:p>
        </w:tc>
        <w:tc>
          <w:tcPr>
            <w:tcW w:w="7501" w:type="dxa"/>
          </w:tcPr>
          <w:p w14:paraId="6554BCF8" w14:textId="77777777" w:rsidR="00F91C6F" w:rsidRDefault="00F91C6F" w:rsidP="00F91367">
            <w:pPr>
              <w:rPr>
                <w:bCs/>
              </w:rPr>
            </w:pPr>
            <w:r w:rsidRPr="00F91C6F">
              <w:rPr>
                <w:bCs/>
              </w:rPr>
              <w:t>Personal history of</w:t>
            </w:r>
            <w:r>
              <w:rPr>
                <w:bCs/>
              </w:rPr>
              <w:t xml:space="preserve"> pulmonary embolism</w:t>
            </w:r>
          </w:p>
        </w:tc>
      </w:tr>
      <w:tr w:rsidR="00E51102" w:rsidRPr="005144C0" w14:paraId="6554BCFC" w14:textId="77777777" w:rsidTr="000002A7">
        <w:tc>
          <w:tcPr>
            <w:tcW w:w="1638" w:type="dxa"/>
          </w:tcPr>
          <w:p w14:paraId="6554BCFA" w14:textId="77777777" w:rsidR="00E51102" w:rsidRDefault="00E51102" w:rsidP="00F91367">
            <w:pPr>
              <w:rPr>
                <w:bCs/>
              </w:rPr>
            </w:pPr>
            <w:r>
              <w:rPr>
                <w:bCs/>
              </w:rPr>
              <w:t>Z86.718</w:t>
            </w:r>
          </w:p>
        </w:tc>
        <w:tc>
          <w:tcPr>
            <w:tcW w:w="7501" w:type="dxa"/>
          </w:tcPr>
          <w:p w14:paraId="6554BCFB" w14:textId="77777777" w:rsidR="00E51102" w:rsidRDefault="00E51102" w:rsidP="00F91367">
            <w:pPr>
              <w:rPr>
                <w:bCs/>
              </w:rPr>
            </w:pPr>
            <w:r>
              <w:rPr>
                <w:bCs/>
              </w:rPr>
              <w:t>Personal history of other venous thrombosis or embolism</w:t>
            </w:r>
          </w:p>
        </w:tc>
      </w:tr>
    </w:tbl>
    <w:p w14:paraId="6554BCFD" w14:textId="77777777" w:rsidR="00E51102" w:rsidRDefault="00E51102" w:rsidP="00AF5490"/>
    <w:tbl>
      <w:tblPr>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E51102" w:rsidRPr="00B777AF" w14:paraId="6554BD01" w14:textId="77777777" w:rsidTr="000002A7">
        <w:trPr>
          <w:tblHeader/>
        </w:trPr>
        <w:tc>
          <w:tcPr>
            <w:tcW w:w="7578" w:type="dxa"/>
            <w:tcBorders>
              <w:top w:val="single" w:sz="8" w:space="0" w:color="4F81BD"/>
            </w:tcBorders>
            <w:shd w:val="clear" w:color="auto" w:fill="00548C"/>
          </w:tcPr>
          <w:p w14:paraId="6554BCFE" w14:textId="77777777" w:rsidR="00E51102" w:rsidRPr="000002A7" w:rsidRDefault="00E51102" w:rsidP="00B777AF">
            <w:pPr>
              <w:rPr>
                <w:b/>
                <w:bCs/>
                <w:color w:val="FFFFFF"/>
              </w:rPr>
            </w:pPr>
            <w:bookmarkStart w:id="2" w:name="Revision_Log"/>
            <w:r w:rsidRPr="000002A7">
              <w:rPr>
                <w:b/>
                <w:color w:val="FFFFFF"/>
              </w:rPr>
              <w:t>Reviews, Revisions, and Approvals</w:t>
            </w:r>
            <w:bookmarkEnd w:id="2"/>
          </w:p>
        </w:tc>
        <w:tc>
          <w:tcPr>
            <w:tcW w:w="810" w:type="dxa"/>
            <w:shd w:val="clear" w:color="auto" w:fill="00548C"/>
          </w:tcPr>
          <w:p w14:paraId="6554BCFF" w14:textId="77777777" w:rsidR="00E51102" w:rsidRPr="000002A7" w:rsidRDefault="00E51102" w:rsidP="000002A7">
            <w:pPr>
              <w:jc w:val="center"/>
              <w:rPr>
                <w:b/>
                <w:bCs/>
                <w:color w:val="FFFFFF"/>
              </w:rPr>
            </w:pPr>
            <w:r w:rsidRPr="000002A7">
              <w:rPr>
                <w:b/>
                <w:color w:val="FFFFFF"/>
              </w:rPr>
              <w:t>Date</w:t>
            </w:r>
          </w:p>
        </w:tc>
        <w:tc>
          <w:tcPr>
            <w:tcW w:w="1260" w:type="dxa"/>
            <w:tcBorders>
              <w:top w:val="single" w:sz="8" w:space="0" w:color="4F81BD"/>
            </w:tcBorders>
            <w:shd w:val="clear" w:color="auto" w:fill="00548C"/>
          </w:tcPr>
          <w:p w14:paraId="6554BD00" w14:textId="77777777" w:rsidR="00E51102" w:rsidRPr="000002A7" w:rsidRDefault="00E51102" w:rsidP="000002A7">
            <w:pPr>
              <w:jc w:val="center"/>
              <w:rPr>
                <w:b/>
                <w:bCs/>
                <w:color w:val="FFFFFF"/>
              </w:rPr>
            </w:pPr>
            <w:r w:rsidRPr="000002A7">
              <w:rPr>
                <w:b/>
                <w:color w:val="FFFFFF"/>
              </w:rPr>
              <w:t>Approval Date</w:t>
            </w:r>
          </w:p>
        </w:tc>
      </w:tr>
      <w:tr w:rsidR="00E51102" w14:paraId="6554BD05" w14:textId="77777777" w:rsidTr="000002A7">
        <w:tc>
          <w:tcPr>
            <w:tcW w:w="7578" w:type="dxa"/>
          </w:tcPr>
          <w:p w14:paraId="6554BD02" w14:textId="77777777" w:rsidR="00E51102" w:rsidRDefault="006E6E77" w:rsidP="000002A7">
            <w:pPr>
              <w:tabs>
                <w:tab w:val="num" w:pos="720"/>
              </w:tabs>
            </w:pPr>
            <w:r>
              <w:t>Policy developed</w:t>
            </w:r>
          </w:p>
        </w:tc>
        <w:tc>
          <w:tcPr>
            <w:tcW w:w="810" w:type="dxa"/>
          </w:tcPr>
          <w:p w14:paraId="6554BD03" w14:textId="77777777" w:rsidR="00E51102" w:rsidRDefault="006E6E77" w:rsidP="000002A7">
            <w:pPr>
              <w:jc w:val="center"/>
            </w:pPr>
            <w:r>
              <w:t>07/16</w:t>
            </w:r>
          </w:p>
        </w:tc>
        <w:tc>
          <w:tcPr>
            <w:tcW w:w="1260" w:type="dxa"/>
          </w:tcPr>
          <w:p w14:paraId="6554BD04" w14:textId="77777777" w:rsidR="00E51102" w:rsidRDefault="00D9638C" w:rsidP="000002A7">
            <w:pPr>
              <w:jc w:val="center"/>
            </w:pPr>
            <w:r>
              <w:t>08/16</w:t>
            </w:r>
          </w:p>
        </w:tc>
      </w:tr>
      <w:tr w:rsidR="007138F6" w14:paraId="6554BD09" w14:textId="77777777" w:rsidTr="000002A7">
        <w:tc>
          <w:tcPr>
            <w:tcW w:w="7578" w:type="dxa"/>
          </w:tcPr>
          <w:p w14:paraId="6554BD06" w14:textId="77777777" w:rsidR="007138F6" w:rsidRDefault="007138F6" w:rsidP="000002A7">
            <w:pPr>
              <w:tabs>
                <w:tab w:val="num" w:pos="720"/>
              </w:tabs>
            </w:pPr>
            <w:r>
              <w:t>References reviewed and updated</w:t>
            </w:r>
          </w:p>
        </w:tc>
        <w:tc>
          <w:tcPr>
            <w:tcW w:w="810" w:type="dxa"/>
          </w:tcPr>
          <w:p w14:paraId="6554BD07" w14:textId="77777777" w:rsidR="007138F6" w:rsidRDefault="007138F6" w:rsidP="000002A7">
            <w:pPr>
              <w:jc w:val="center"/>
            </w:pPr>
            <w:r>
              <w:t>07/17</w:t>
            </w:r>
          </w:p>
        </w:tc>
        <w:tc>
          <w:tcPr>
            <w:tcW w:w="1260" w:type="dxa"/>
          </w:tcPr>
          <w:p w14:paraId="6554BD08" w14:textId="77777777" w:rsidR="007138F6" w:rsidRDefault="003941D4" w:rsidP="000002A7">
            <w:pPr>
              <w:jc w:val="center"/>
            </w:pPr>
            <w:r>
              <w:t>08/17</w:t>
            </w:r>
          </w:p>
        </w:tc>
      </w:tr>
      <w:tr w:rsidR="0009453E" w14:paraId="6554BD0D" w14:textId="77777777" w:rsidTr="000002A7">
        <w:tc>
          <w:tcPr>
            <w:tcW w:w="7578" w:type="dxa"/>
          </w:tcPr>
          <w:p w14:paraId="6554BD0A" w14:textId="77777777" w:rsidR="0009453E" w:rsidRDefault="00CE0993" w:rsidP="000002A7">
            <w:pPr>
              <w:tabs>
                <w:tab w:val="num" w:pos="720"/>
              </w:tabs>
            </w:pPr>
            <w:r>
              <w:t>Background updated. References reviewed and updated.</w:t>
            </w:r>
          </w:p>
        </w:tc>
        <w:tc>
          <w:tcPr>
            <w:tcW w:w="810" w:type="dxa"/>
          </w:tcPr>
          <w:p w14:paraId="6554BD0B" w14:textId="77777777" w:rsidR="0009453E" w:rsidRDefault="00CE0993" w:rsidP="000002A7">
            <w:pPr>
              <w:jc w:val="center"/>
            </w:pPr>
            <w:r>
              <w:t>05/18</w:t>
            </w:r>
          </w:p>
        </w:tc>
        <w:tc>
          <w:tcPr>
            <w:tcW w:w="1260" w:type="dxa"/>
          </w:tcPr>
          <w:p w14:paraId="6554BD0C" w14:textId="77777777" w:rsidR="0009453E" w:rsidRDefault="00B24229" w:rsidP="000002A7">
            <w:pPr>
              <w:jc w:val="center"/>
            </w:pPr>
            <w:r>
              <w:t>05/18</w:t>
            </w:r>
          </w:p>
        </w:tc>
      </w:tr>
      <w:tr w:rsidR="00BE7311" w14:paraId="75218705" w14:textId="77777777" w:rsidTr="000002A7">
        <w:tc>
          <w:tcPr>
            <w:tcW w:w="7578" w:type="dxa"/>
          </w:tcPr>
          <w:p w14:paraId="67C1649B" w14:textId="24687B31" w:rsidR="00BE7311" w:rsidRDefault="00601301" w:rsidP="000002A7">
            <w:pPr>
              <w:tabs>
                <w:tab w:val="num" w:pos="720"/>
              </w:tabs>
            </w:pPr>
            <w:r>
              <w:t xml:space="preserve">Background updated. </w:t>
            </w:r>
            <w:r w:rsidR="00DA45C3">
              <w:t>References reviewed and updated.</w:t>
            </w:r>
          </w:p>
        </w:tc>
        <w:tc>
          <w:tcPr>
            <w:tcW w:w="810" w:type="dxa"/>
          </w:tcPr>
          <w:p w14:paraId="013D835A" w14:textId="76FBF020" w:rsidR="00BE7311" w:rsidRDefault="00A47B89" w:rsidP="00A47B89">
            <w:pPr>
              <w:jc w:val="center"/>
            </w:pPr>
            <w:r>
              <w:t>04/19</w:t>
            </w:r>
          </w:p>
        </w:tc>
        <w:tc>
          <w:tcPr>
            <w:tcW w:w="1260" w:type="dxa"/>
          </w:tcPr>
          <w:p w14:paraId="2FE4BC88" w14:textId="4BFC3313" w:rsidR="00BE7311" w:rsidRDefault="00A11401" w:rsidP="000002A7">
            <w:pPr>
              <w:jc w:val="center"/>
            </w:pPr>
            <w:r>
              <w:t>05/19</w:t>
            </w:r>
          </w:p>
        </w:tc>
      </w:tr>
    </w:tbl>
    <w:p w14:paraId="6554BD0E" w14:textId="77777777" w:rsidR="00E51102" w:rsidRDefault="00E51102" w:rsidP="00B777AF">
      <w:pPr>
        <w:pStyle w:val="Heading6"/>
        <w:tabs>
          <w:tab w:val="clear" w:pos="0"/>
        </w:tabs>
      </w:pPr>
    </w:p>
    <w:p w14:paraId="6554BD0F" w14:textId="77777777" w:rsidR="00E51102" w:rsidRPr="00B777AF" w:rsidRDefault="00E51102" w:rsidP="00963062">
      <w:pPr>
        <w:pStyle w:val="Heading3"/>
      </w:pPr>
      <w:r>
        <w:t>References</w:t>
      </w:r>
    </w:p>
    <w:p w14:paraId="6554BD10" w14:textId="77777777" w:rsidR="00E51102" w:rsidRPr="0009453E" w:rsidRDefault="00E51102" w:rsidP="00853325">
      <w:pPr>
        <w:pStyle w:val="ListParagraph"/>
        <w:numPr>
          <w:ilvl w:val="0"/>
          <w:numId w:val="21"/>
        </w:numPr>
        <w:ind w:left="360"/>
      </w:pPr>
      <w:proofErr w:type="spellStart"/>
      <w:r w:rsidRPr="001A57C9">
        <w:rPr>
          <w:shd w:val="clear" w:color="auto" w:fill="FFFFFF"/>
        </w:rPr>
        <w:t>Wierzbicki</w:t>
      </w:r>
      <w:proofErr w:type="spellEnd"/>
      <w:r w:rsidRPr="001A57C9">
        <w:rPr>
          <w:shd w:val="clear" w:color="auto" w:fill="FFFFFF"/>
        </w:rPr>
        <w:t>, Anthony S. "Homocysteine and cardiovascular disease: a review of the evidence."</w:t>
      </w:r>
      <w:r w:rsidR="0009453E" w:rsidRPr="001A57C9">
        <w:rPr>
          <w:shd w:val="clear" w:color="auto" w:fill="FFFFFF"/>
        </w:rPr>
        <w:t xml:space="preserve"> </w:t>
      </w:r>
      <w:r w:rsidRPr="001A57C9">
        <w:rPr>
          <w:i/>
          <w:iCs/>
          <w:shd w:val="clear" w:color="auto" w:fill="FFFFFF"/>
        </w:rPr>
        <w:t xml:space="preserve">Diabetes and Vascular Disease Research </w:t>
      </w:r>
      <w:r w:rsidRPr="001A57C9">
        <w:rPr>
          <w:shd w:val="clear" w:color="auto" w:fill="FFFFFF"/>
        </w:rPr>
        <w:t>4.2 (2007): 143-149.</w:t>
      </w:r>
    </w:p>
    <w:p w14:paraId="6554BD11" w14:textId="77777777" w:rsidR="00E51102" w:rsidRPr="0009453E" w:rsidRDefault="00E51102" w:rsidP="00853325">
      <w:pPr>
        <w:pStyle w:val="ListParagraph"/>
        <w:numPr>
          <w:ilvl w:val="0"/>
          <w:numId w:val="21"/>
        </w:numPr>
        <w:ind w:left="360"/>
      </w:pPr>
      <w:proofErr w:type="spellStart"/>
      <w:r w:rsidRPr="001A57C9">
        <w:rPr>
          <w:shd w:val="clear" w:color="auto" w:fill="FFFFFF"/>
        </w:rPr>
        <w:t>Födingeer</w:t>
      </w:r>
      <w:proofErr w:type="spellEnd"/>
      <w:r w:rsidRPr="001A57C9">
        <w:rPr>
          <w:shd w:val="clear" w:color="auto" w:fill="FFFFFF"/>
        </w:rPr>
        <w:t>, Manuela, et al. "Recent insights into the molecular genetics of the homocysteine metabolism."</w:t>
      </w:r>
      <w:r w:rsidRPr="001A57C9">
        <w:rPr>
          <w:rStyle w:val="apple-converted-space"/>
          <w:shd w:val="clear" w:color="auto" w:fill="FFFFFF"/>
        </w:rPr>
        <w:t xml:space="preserve"> </w:t>
      </w:r>
      <w:r w:rsidRPr="001A57C9">
        <w:rPr>
          <w:i/>
          <w:iCs/>
          <w:shd w:val="clear" w:color="auto" w:fill="FFFFFF"/>
        </w:rPr>
        <w:t>Kidney international</w:t>
      </w:r>
      <w:r w:rsidRPr="001A57C9">
        <w:rPr>
          <w:rStyle w:val="apple-converted-space"/>
          <w:shd w:val="clear" w:color="auto" w:fill="FFFFFF"/>
        </w:rPr>
        <w:t xml:space="preserve"> </w:t>
      </w:r>
      <w:r w:rsidRPr="001A57C9">
        <w:rPr>
          <w:shd w:val="clear" w:color="auto" w:fill="FFFFFF"/>
        </w:rPr>
        <w:t>59 (2001): S238-S242.</w:t>
      </w:r>
    </w:p>
    <w:p w14:paraId="6554BD12" w14:textId="77777777" w:rsidR="00E51102" w:rsidRPr="0009453E" w:rsidRDefault="00E51102" w:rsidP="00853325">
      <w:pPr>
        <w:pStyle w:val="ListParagraph"/>
        <w:numPr>
          <w:ilvl w:val="0"/>
          <w:numId w:val="21"/>
        </w:numPr>
        <w:ind w:left="360"/>
      </w:pPr>
      <w:r w:rsidRPr="001A57C9">
        <w:rPr>
          <w:shd w:val="clear" w:color="auto" w:fill="FFFFFF"/>
        </w:rPr>
        <w:t>Clarke, Robert, et al. "</w:t>
      </w:r>
      <w:proofErr w:type="spellStart"/>
      <w:r w:rsidRPr="001A57C9">
        <w:rPr>
          <w:shd w:val="clear" w:color="auto" w:fill="FFFFFF"/>
        </w:rPr>
        <w:t>Hyperhomocysteinemia</w:t>
      </w:r>
      <w:proofErr w:type="spellEnd"/>
      <w:r w:rsidRPr="001A57C9">
        <w:rPr>
          <w:shd w:val="clear" w:color="auto" w:fill="FFFFFF"/>
        </w:rPr>
        <w:t>: an independent risk factor for vascular disease."</w:t>
      </w:r>
      <w:r w:rsidR="0009453E" w:rsidRPr="001A57C9">
        <w:rPr>
          <w:shd w:val="clear" w:color="auto" w:fill="FFFFFF"/>
        </w:rPr>
        <w:t xml:space="preserve"> </w:t>
      </w:r>
      <w:r w:rsidR="0009453E" w:rsidRPr="001A57C9">
        <w:rPr>
          <w:i/>
          <w:iCs/>
          <w:shd w:val="clear" w:color="auto" w:fill="FFFFFF"/>
        </w:rPr>
        <w:t xml:space="preserve">N </w:t>
      </w:r>
      <w:proofErr w:type="spellStart"/>
      <w:r w:rsidR="0009453E" w:rsidRPr="001A57C9">
        <w:rPr>
          <w:i/>
          <w:iCs/>
          <w:shd w:val="clear" w:color="auto" w:fill="FFFFFF"/>
        </w:rPr>
        <w:t>Engl</w:t>
      </w:r>
      <w:proofErr w:type="spellEnd"/>
      <w:r w:rsidR="0009453E" w:rsidRPr="001A57C9">
        <w:rPr>
          <w:i/>
          <w:iCs/>
          <w:shd w:val="clear" w:color="auto" w:fill="FFFFFF"/>
        </w:rPr>
        <w:t xml:space="preserve"> J Med </w:t>
      </w:r>
      <w:r w:rsidRPr="001A57C9">
        <w:rPr>
          <w:shd w:val="clear" w:color="auto" w:fill="FFFFFF"/>
        </w:rPr>
        <w:t>324.17 (1991): 1149-1155.</w:t>
      </w:r>
    </w:p>
    <w:p w14:paraId="6554BD13" w14:textId="77777777" w:rsidR="00E51102" w:rsidRPr="0009453E" w:rsidRDefault="00E51102" w:rsidP="00853325">
      <w:pPr>
        <w:pStyle w:val="ListParagraph"/>
        <w:numPr>
          <w:ilvl w:val="0"/>
          <w:numId w:val="21"/>
        </w:numPr>
        <w:ind w:left="360"/>
      </w:pPr>
      <w:r w:rsidRPr="001A57C9">
        <w:rPr>
          <w:shd w:val="clear" w:color="auto" w:fill="FFFFFF"/>
        </w:rPr>
        <w:lastRenderedPageBreak/>
        <w:t>Homocysteine Studies Collaboration. "Homocysteine and risk of ischemic heart disease and stroke: a meta-analysis."</w:t>
      </w:r>
      <w:r w:rsidRPr="001A57C9">
        <w:rPr>
          <w:rStyle w:val="apple-converted-space"/>
          <w:shd w:val="clear" w:color="auto" w:fill="FFFFFF"/>
        </w:rPr>
        <w:t xml:space="preserve"> </w:t>
      </w:r>
      <w:r w:rsidRPr="001A57C9">
        <w:rPr>
          <w:i/>
          <w:iCs/>
          <w:shd w:val="clear" w:color="auto" w:fill="FFFFFF"/>
        </w:rPr>
        <w:t>JAMA</w:t>
      </w:r>
      <w:r w:rsidRPr="001A57C9">
        <w:rPr>
          <w:rStyle w:val="apple-converted-space"/>
          <w:shd w:val="clear" w:color="auto" w:fill="FFFFFF"/>
        </w:rPr>
        <w:t xml:space="preserve"> </w:t>
      </w:r>
      <w:r w:rsidRPr="001A57C9">
        <w:rPr>
          <w:shd w:val="clear" w:color="auto" w:fill="FFFFFF"/>
        </w:rPr>
        <w:t>288.16 (2002): 2015-2022.</w:t>
      </w:r>
    </w:p>
    <w:p w14:paraId="6554BD14" w14:textId="77777777" w:rsidR="00E51102" w:rsidRPr="0009453E" w:rsidRDefault="00E51102" w:rsidP="00853325">
      <w:pPr>
        <w:pStyle w:val="ListParagraph"/>
        <w:numPr>
          <w:ilvl w:val="0"/>
          <w:numId w:val="21"/>
        </w:numPr>
        <w:ind w:left="360"/>
      </w:pPr>
      <w:r w:rsidRPr="001A57C9">
        <w:rPr>
          <w:shd w:val="clear" w:color="auto" w:fill="FFFFFF"/>
        </w:rPr>
        <w:t>Heart Outcomes Prevention Evaluation (HOPE) 2 Investigators. "Homocysteine lowering with folic acid and B vitamins in vascular disease."</w:t>
      </w:r>
      <w:r w:rsidR="0009453E" w:rsidRPr="001A57C9">
        <w:rPr>
          <w:shd w:val="clear" w:color="auto" w:fill="FFFFFF"/>
        </w:rPr>
        <w:t xml:space="preserve"> </w:t>
      </w:r>
      <w:r w:rsidRPr="001A57C9">
        <w:rPr>
          <w:i/>
          <w:iCs/>
          <w:shd w:val="clear" w:color="auto" w:fill="FFFFFF"/>
        </w:rPr>
        <w:t xml:space="preserve">N </w:t>
      </w:r>
      <w:proofErr w:type="spellStart"/>
      <w:r w:rsidRPr="001A57C9">
        <w:rPr>
          <w:i/>
          <w:iCs/>
          <w:shd w:val="clear" w:color="auto" w:fill="FFFFFF"/>
        </w:rPr>
        <w:t>Engl</w:t>
      </w:r>
      <w:proofErr w:type="spellEnd"/>
      <w:r w:rsidRPr="001A57C9">
        <w:rPr>
          <w:i/>
          <w:iCs/>
          <w:shd w:val="clear" w:color="auto" w:fill="FFFFFF"/>
        </w:rPr>
        <w:t xml:space="preserve"> J Med</w:t>
      </w:r>
      <w:r w:rsidRPr="001A57C9">
        <w:rPr>
          <w:rStyle w:val="apple-converted-space"/>
          <w:shd w:val="clear" w:color="auto" w:fill="FFFFFF"/>
        </w:rPr>
        <w:t xml:space="preserve"> </w:t>
      </w:r>
      <w:r w:rsidRPr="001A57C9">
        <w:rPr>
          <w:shd w:val="clear" w:color="auto" w:fill="FFFFFF"/>
        </w:rPr>
        <w:t>2006.354 (2006): 1567-1577.</w:t>
      </w:r>
    </w:p>
    <w:p w14:paraId="6554BD15" w14:textId="77777777" w:rsidR="00E51102" w:rsidRPr="0009453E" w:rsidRDefault="00E51102" w:rsidP="00853325">
      <w:pPr>
        <w:pStyle w:val="ListParagraph"/>
        <w:numPr>
          <w:ilvl w:val="0"/>
          <w:numId w:val="21"/>
        </w:numPr>
        <w:ind w:left="360"/>
      </w:pPr>
      <w:proofErr w:type="spellStart"/>
      <w:r w:rsidRPr="001A57C9">
        <w:rPr>
          <w:shd w:val="clear" w:color="auto" w:fill="FFFFFF"/>
        </w:rPr>
        <w:t>Boona</w:t>
      </w:r>
      <w:proofErr w:type="spellEnd"/>
      <w:r w:rsidRPr="001A57C9">
        <w:rPr>
          <w:shd w:val="clear" w:color="auto" w:fill="FFFFFF"/>
        </w:rPr>
        <w:t xml:space="preserve">, K. H., I. </w:t>
      </w:r>
      <w:proofErr w:type="spellStart"/>
      <w:r w:rsidRPr="001A57C9">
        <w:rPr>
          <w:shd w:val="clear" w:color="auto" w:fill="FFFFFF"/>
        </w:rPr>
        <w:t>Njolstad</w:t>
      </w:r>
      <w:proofErr w:type="spellEnd"/>
      <w:r w:rsidRPr="001A57C9">
        <w:rPr>
          <w:shd w:val="clear" w:color="auto" w:fill="FFFFFF"/>
        </w:rPr>
        <w:t xml:space="preserve">, and P. M. </w:t>
      </w:r>
      <w:proofErr w:type="spellStart"/>
      <w:r w:rsidRPr="001A57C9">
        <w:rPr>
          <w:shd w:val="clear" w:color="auto" w:fill="FFFFFF"/>
        </w:rPr>
        <w:t>Ueland</w:t>
      </w:r>
      <w:proofErr w:type="spellEnd"/>
      <w:r w:rsidRPr="001A57C9">
        <w:rPr>
          <w:shd w:val="clear" w:color="auto" w:fill="FFFFFF"/>
        </w:rPr>
        <w:t>. "Homocysteine lowering and cardiovascular events after myocardial infarction."</w:t>
      </w:r>
      <w:r w:rsidRPr="001A57C9">
        <w:rPr>
          <w:rStyle w:val="apple-converted-space"/>
          <w:shd w:val="clear" w:color="auto" w:fill="FFFFFF"/>
        </w:rPr>
        <w:t xml:space="preserve"> </w:t>
      </w:r>
      <w:r w:rsidRPr="001A57C9">
        <w:rPr>
          <w:i/>
          <w:iCs/>
          <w:shd w:val="clear" w:color="auto" w:fill="FFFFFF"/>
        </w:rPr>
        <w:t xml:space="preserve">N </w:t>
      </w:r>
      <w:proofErr w:type="spellStart"/>
      <w:r w:rsidRPr="001A57C9">
        <w:rPr>
          <w:i/>
          <w:iCs/>
          <w:shd w:val="clear" w:color="auto" w:fill="FFFFFF"/>
        </w:rPr>
        <w:t>Engl</w:t>
      </w:r>
      <w:proofErr w:type="spellEnd"/>
      <w:r w:rsidRPr="001A57C9">
        <w:rPr>
          <w:i/>
          <w:iCs/>
          <w:shd w:val="clear" w:color="auto" w:fill="FFFFFF"/>
        </w:rPr>
        <w:t xml:space="preserve"> J Med</w:t>
      </w:r>
      <w:r w:rsidRPr="001A57C9">
        <w:rPr>
          <w:rStyle w:val="apple-converted-space"/>
          <w:shd w:val="clear" w:color="auto" w:fill="FFFFFF"/>
        </w:rPr>
        <w:t xml:space="preserve"> </w:t>
      </w:r>
      <w:r w:rsidRPr="001A57C9">
        <w:rPr>
          <w:shd w:val="clear" w:color="auto" w:fill="FFFFFF"/>
        </w:rPr>
        <w:t>354 (2006): 1578-1588.</w:t>
      </w:r>
    </w:p>
    <w:p w14:paraId="6554BD16" w14:textId="746BDD40" w:rsidR="00E51102" w:rsidRPr="0009453E" w:rsidRDefault="00E51102" w:rsidP="00853325">
      <w:pPr>
        <w:pStyle w:val="ListParagraph"/>
        <w:numPr>
          <w:ilvl w:val="0"/>
          <w:numId w:val="21"/>
        </w:numPr>
        <w:ind w:left="360"/>
      </w:pPr>
      <w:proofErr w:type="spellStart"/>
      <w:r w:rsidRPr="0009453E">
        <w:t>Rosenson</w:t>
      </w:r>
      <w:proofErr w:type="spellEnd"/>
      <w:r w:rsidRPr="0009453E">
        <w:t xml:space="preserve"> RS</w:t>
      </w:r>
      <w:r w:rsidR="009332EC">
        <w:t>, Smith CC, Bauer KA.</w:t>
      </w:r>
      <w:r w:rsidRPr="0009453E">
        <w:t xml:space="preserve">  “Overview of homocysteine.”  In: </w:t>
      </w:r>
      <w:proofErr w:type="spellStart"/>
      <w:r w:rsidRPr="0009453E">
        <w:t>UpToDate</w:t>
      </w:r>
      <w:proofErr w:type="spellEnd"/>
      <w:r w:rsidRPr="0009453E">
        <w:t xml:space="preserve">, </w:t>
      </w:r>
      <w:r w:rsidR="009332EC">
        <w:t>Freeman MW</w:t>
      </w:r>
      <w:r w:rsidRPr="0009453E">
        <w:t xml:space="preserve">(Ed), </w:t>
      </w:r>
      <w:proofErr w:type="spellStart"/>
      <w:r w:rsidRPr="0009453E">
        <w:t>UpToDate</w:t>
      </w:r>
      <w:proofErr w:type="spellEnd"/>
      <w:r w:rsidRPr="0009453E">
        <w:t xml:space="preserve">, Waltham, MA. Accessed on </w:t>
      </w:r>
      <w:r w:rsidR="009332EC">
        <w:t>April 8</w:t>
      </w:r>
      <w:r w:rsidR="00F95073">
        <w:t>, 201</w:t>
      </w:r>
      <w:r w:rsidR="009332EC">
        <w:t>9</w:t>
      </w:r>
      <w:r w:rsidR="00F95073">
        <w:t>.</w:t>
      </w:r>
    </w:p>
    <w:p w14:paraId="6554BD17" w14:textId="77777777" w:rsidR="00E51102" w:rsidRPr="0009453E" w:rsidRDefault="00E51102" w:rsidP="00853325">
      <w:pPr>
        <w:pStyle w:val="ListParagraph"/>
        <w:numPr>
          <w:ilvl w:val="0"/>
          <w:numId w:val="21"/>
        </w:numPr>
        <w:ind w:left="360"/>
      </w:pPr>
      <w:r w:rsidRPr="001A57C9">
        <w:t xml:space="preserve">Graham, I. M., E. </w:t>
      </w:r>
      <w:proofErr w:type="spellStart"/>
      <w:r w:rsidRPr="001A57C9">
        <w:t>DalyL</w:t>
      </w:r>
      <w:proofErr w:type="spellEnd"/>
      <w:r w:rsidRPr="001A57C9">
        <w:t xml:space="preserve">, and H. M. </w:t>
      </w:r>
      <w:proofErr w:type="spellStart"/>
      <w:r w:rsidRPr="001A57C9">
        <w:t>Refsum</w:t>
      </w:r>
      <w:proofErr w:type="spellEnd"/>
      <w:r w:rsidRPr="001A57C9">
        <w:t xml:space="preserve">. "Dose-dependent effects of folic acid on blood concentrations of homocysteine: a meta-analysis of the randomized trials." </w:t>
      </w:r>
      <w:r w:rsidRPr="001A57C9">
        <w:rPr>
          <w:i/>
          <w:iCs/>
        </w:rPr>
        <w:t xml:space="preserve">Am J </w:t>
      </w:r>
      <w:proofErr w:type="spellStart"/>
      <w:r w:rsidRPr="001A57C9">
        <w:rPr>
          <w:i/>
          <w:iCs/>
        </w:rPr>
        <w:t>Clin</w:t>
      </w:r>
      <w:proofErr w:type="spellEnd"/>
      <w:r w:rsidRPr="001A57C9">
        <w:rPr>
          <w:i/>
          <w:iCs/>
        </w:rPr>
        <w:t xml:space="preserve"> </w:t>
      </w:r>
      <w:proofErr w:type="spellStart"/>
      <w:r w:rsidRPr="001A57C9">
        <w:rPr>
          <w:i/>
          <w:iCs/>
        </w:rPr>
        <w:t>Nutr</w:t>
      </w:r>
      <w:proofErr w:type="spellEnd"/>
      <w:r w:rsidRPr="001A57C9">
        <w:t xml:space="preserve"> 82.4 (2005): 806-812.</w:t>
      </w:r>
    </w:p>
    <w:p w14:paraId="6554BD18" w14:textId="77777777" w:rsidR="00E51102" w:rsidRPr="0009453E" w:rsidRDefault="00E51102" w:rsidP="00853325">
      <w:pPr>
        <w:pStyle w:val="ListParagraph"/>
        <w:numPr>
          <w:ilvl w:val="0"/>
          <w:numId w:val="21"/>
        </w:numPr>
        <w:ind w:left="360"/>
      </w:pPr>
      <w:r w:rsidRPr="001A57C9">
        <w:rPr>
          <w:shd w:val="clear" w:color="auto" w:fill="FFFFFF"/>
        </w:rPr>
        <w:t xml:space="preserve">Ray, Joel G. "Meta-analysis of </w:t>
      </w:r>
      <w:proofErr w:type="spellStart"/>
      <w:r w:rsidRPr="001A57C9">
        <w:rPr>
          <w:shd w:val="clear" w:color="auto" w:fill="FFFFFF"/>
        </w:rPr>
        <w:t>hyperhomocysteinemia</w:t>
      </w:r>
      <w:proofErr w:type="spellEnd"/>
      <w:r w:rsidRPr="001A57C9">
        <w:rPr>
          <w:shd w:val="clear" w:color="auto" w:fill="FFFFFF"/>
        </w:rPr>
        <w:t xml:space="preserve"> as a risk factor for venous thromboembolic disease." </w:t>
      </w:r>
      <w:r w:rsidRPr="001A57C9">
        <w:rPr>
          <w:i/>
          <w:iCs/>
          <w:shd w:val="clear" w:color="auto" w:fill="FFFFFF"/>
        </w:rPr>
        <w:t>Archives of internal medicine</w:t>
      </w:r>
      <w:r w:rsidRPr="001A57C9">
        <w:rPr>
          <w:rStyle w:val="apple-converted-space"/>
          <w:shd w:val="clear" w:color="auto" w:fill="FFFFFF"/>
        </w:rPr>
        <w:t xml:space="preserve"> </w:t>
      </w:r>
      <w:r w:rsidRPr="001A57C9">
        <w:rPr>
          <w:shd w:val="clear" w:color="auto" w:fill="FFFFFF"/>
        </w:rPr>
        <w:t>158.19 (1998): 2101-2106.</w:t>
      </w:r>
    </w:p>
    <w:p w14:paraId="6554BD19" w14:textId="77777777" w:rsidR="00E51102" w:rsidRPr="001A57C9" w:rsidRDefault="00E51102" w:rsidP="00853325">
      <w:pPr>
        <w:pStyle w:val="ListParagraph"/>
        <w:numPr>
          <w:ilvl w:val="0"/>
          <w:numId w:val="21"/>
        </w:numPr>
        <w:ind w:left="360"/>
      </w:pPr>
      <w:r w:rsidRPr="001A57C9">
        <w:rPr>
          <w:shd w:val="clear" w:color="auto" w:fill="FFFFFF"/>
        </w:rPr>
        <w:t xml:space="preserve">Den </w:t>
      </w:r>
      <w:proofErr w:type="spellStart"/>
      <w:r w:rsidRPr="001A57C9">
        <w:rPr>
          <w:shd w:val="clear" w:color="auto" w:fill="FFFFFF"/>
        </w:rPr>
        <w:t>Heijer</w:t>
      </w:r>
      <w:proofErr w:type="spellEnd"/>
      <w:r w:rsidRPr="001A57C9">
        <w:rPr>
          <w:shd w:val="clear" w:color="auto" w:fill="FFFFFF"/>
        </w:rPr>
        <w:t>, Martin, et al. "</w:t>
      </w:r>
      <w:proofErr w:type="spellStart"/>
      <w:r w:rsidRPr="001A57C9">
        <w:rPr>
          <w:shd w:val="clear" w:color="auto" w:fill="FFFFFF"/>
        </w:rPr>
        <w:t>Hyperhomocysteinemia</w:t>
      </w:r>
      <w:proofErr w:type="spellEnd"/>
      <w:r w:rsidRPr="001A57C9">
        <w:rPr>
          <w:shd w:val="clear" w:color="auto" w:fill="FFFFFF"/>
        </w:rPr>
        <w:t xml:space="preserve"> and venous thrombosis: a meta-analysis."</w:t>
      </w:r>
      <w:r w:rsidRPr="001A57C9">
        <w:rPr>
          <w:rStyle w:val="apple-converted-space"/>
          <w:shd w:val="clear" w:color="auto" w:fill="FFFFFF"/>
        </w:rPr>
        <w:t> </w:t>
      </w:r>
      <w:r w:rsidRPr="001A57C9">
        <w:rPr>
          <w:i/>
          <w:iCs/>
          <w:shd w:val="clear" w:color="auto" w:fill="FFFFFF"/>
        </w:rPr>
        <w:t xml:space="preserve">Thrombosis and </w:t>
      </w:r>
      <w:proofErr w:type="spellStart"/>
      <w:r w:rsidRPr="001A57C9">
        <w:rPr>
          <w:i/>
          <w:iCs/>
          <w:shd w:val="clear" w:color="auto" w:fill="FFFFFF"/>
        </w:rPr>
        <w:t>Haemostasis</w:t>
      </w:r>
      <w:proofErr w:type="spellEnd"/>
      <w:r w:rsidRPr="001A57C9">
        <w:rPr>
          <w:i/>
          <w:iCs/>
          <w:shd w:val="clear" w:color="auto" w:fill="FFFFFF"/>
        </w:rPr>
        <w:t>-Stuttgart-</w:t>
      </w:r>
      <w:r w:rsidRPr="001A57C9">
        <w:rPr>
          <w:rStyle w:val="apple-converted-space"/>
          <w:shd w:val="clear" w:color="auto" w:fill="FFFFFF"/>
        </w:rPr>
        <w:t> </w:t>
      </w:r>
      <w:r w:rsidRPr="001A57C9">
        <w:rPr>
          <w:shd w:val="clear" w:color="auto" w:fill="FFFFFF"/>
        </w:rPr>
        <w:t>80 (1998): 874-877.</w:t>
      </w:r>
    </w:p>
    <w:p w14:paraId="6554BD1A" w14:textId="77777777" w:rsidR="006F672D" w:rsidRDefault="006F672D" w:rsidP="006F672D">
      <w:pPr>
        <w:pStyle w:val="ListParagraph"/>
        <w:numPr>
          <w:ilvl w:val="0"/>
          <w:numId w:val="21"/>
        </w:numPr>
        <w:ind w:left="360"/>
      </w:pPr>
      <w:proofErr w:type="spellStart"/>
      <w:r w:rsidRPr="006F672D">
        <w:t>Martí-Carvajal</w:t>
      </w:r>
      <w:proofErr w:type="spellEnd"/>
      <w:r w:rsidRPr="006F672D">
        <w:t xml:space="preserve"> AJ1, </w:t>
      </w:r>
      <w:proofErr w:type="spellStart"/>
      <w:r w:rsidRPr="006F672D">
        <w:t>Solà</w:t>
      </w:r>
      <w:proofErr w:type="spellEnd"/>
      <w:r w:rsidRPr="006F672D">
        <w:t xml:space="preserve"> I, </w:t>
      </w:r>
      <w:proofErr w:type="spellStart"/>
      <w:r w:rsidRPr="006F672D">
        <w:t>Lathyris</w:t>
      </w:r>
      <w:proofErr w:type="spellEnd"/>
      <w:r w:rsidRPr="006F672D">
        <w:t xml:space="preserve"> D, </w:t>
      </w:r>
      <w:proofErr w:type="spellStart"/>
      <w:r w:rsidRPr="006F672D">
        <w:t>Dayer</w:t>
      </w:r>
      <w:proofErr w:type="spellEnd"/>
      <w:r w:rsidRPr="006F672D">
        <w:t xml:space="preserve"> M.</w:t>
      </w:r>
      <w:r>
        <w:t xml:space="preserve"> </w:t>
      </w:r>
      <w:r w:rsidRPr="006F672D">
        <w:t>Homocysteine-lowering interventions for preventing cardiovascular events.</w:t>
      </w:r>
      <w:r>
        <w:t xml:space="preserve"> </w:t>
      </w:r>
      <w:r w:rsidRPr="006F672D">
        <w:t xml:space="preserve">Cochrane Database </w:t>
      </w:r>
      <w:proofErr w:type="spellStart"/>
      <w:r w:rsidRPr="006F672D">
        <w:t>Syst</w:t>
      </w:r>
      <w:proofErr w:type="spellEnd"/>
      <w:r w:rsidRPr="006F672D">
        <w:t xml:space="preserve"> Rev. 2017 Aug 17</w:t>
      </w:r>
      <w:proofErr w:type="gramStart"/>
      <w:r w:rsidRPr="006F672D">
        <w:t>;8:CD006612</w:t>
      </w:r>
      <w:proofErr w:type="gramEnd"/>
      <w:r w:rsidRPr="006F672D">
        <w:t xml:space="preserve">. </w:t>
      </w:r>
      <w:proofErr w:type="spellStart"/>
      <w:proofErr w:type="gramStart"/>
      <w:r w:rsidRPr="006F672D">
        <w:t>doi</w:t>
      </w:r>
      <w:proofErr w:type="spellEnd"/>
      <w:proofErr w:type="gramEnd"/>
      <w:r w:rsidRPr="006F672D">
        <w:t>: 10.1002/14651858.CD006612.pub5.</w:t>
      </w:r>
    </w:p>
    <w:p w14:paraId="6554BD1B" w14:textId="77777777" w:rsidR="005243F8" w:rsidRDefault="005243F8" w:rsidP="004D2389">
      <w:pPr>
        <w:pStyle w:val="ListParagraph"/>
        <w:numPr>
          <w:ilvl w:val="0"/>
          <w:numId w:val="21"/>
        </w:numPr>
        <w:ind w:left="360"/>
      </w:pPr>
      <w:r>
        <w:t xml:space="preserve">Clarke R, Bennett D, Parish S, et al. </w:t>
      </w:r>
      <w:r w:rsidRPr="005243F8">
        <w:t>Effects of homocysteine lowering with B vitamins on cognitive aging: meta-analysis of 11 trials with cognitive data on</w:t>
      </w:r>
      <w:r>
        <w:t xml:space="preserve"> 22,000 individuals. </w:t>
      </w:r>
      <w:hyperlink r:id="rId14" w:history="1">
        <w:r w:rsidRPr="005243F8">
          <w:t xml:space="preserve">Am J </w:t>
        </w:r>
        <w:proofErr w:type="spellStart"/>
        <w:r w:rsidRPr="005243F8">
          <w:t>Clin</w:t>
        </w:r>
        <w:proofErr w:type="spellEnd"/>
        <w:r w:rsidRPr="005243F8">
          <w:t xml:space="preserve"> </w:t>
        </w:r>
        <w:proofErr w:type="spellStart"/>
        <w:r w:rsidRPr="005243F8">
          <w:t>Nutr</w:t>
        </w:r>
        <w:proofErr w:type="spellEnd"/>
      </w:hyperlink>
      <w:r w:rsidRPr="005243F8">
        <w:t>. 2014 Aug; 100(2): 657–666.</w:t>
      </w:r>
    </w:p>
    <w:p w14:paraId="6554BD1C" w14:textId="77777777" w:rsidR="004D2389" w:rsidRDefault="004D2389" w:rsidP="004D2389">
      <w:pPr>
        <w:pStyle w:val="ListParagraph"/>
        <w:numPr>
          <w:ilvl w:val="0"/>
          <w:numId w:val="21"/>
        </w:numPr>
        <w:ind w:left="360"/>
      </w:pPr>
      <w:r>
        <w:t xml:space="preserve">Smith AD, </w:t>
      </w:r>
      <w:proofErr w:type="spellStart"/>
      <w:r>
        <w:t>Refsum</w:t>
      </w:r>
      <w:proofErr w:type="spellEnd"/>
      <w:r>
        <w:t xml:space="preserve"> H, </w:t>
      </w:r>
      <w:proofErr w:type="spellStart"/>
      <w:r>
        <w:t>Bottiglieri</w:t>
      </w:r>
      <w:proofErr w:type="spellEnd"/>
      <w:r>
        <w:t xml:space="preserve"> T, et al. Homocysteine and dementia: an international consensus statement. </w:t>
      </w:r>
      <w:r w:rsidRPr="004D2389">
        <w:t xml:space="preserve">J </w:t>
      </w:r>
      <w:proofErr w:type="spellStart"/>
      <w:r w:rsidRPr="004D2389">
        <w:t>Alzheimers</w:t>
      </w:r>
      <w:proofErr w:type="spellEnd"/>
      <w:r w:rsidRPr="004D2389">
        <w:t xml:space="preserve"> Dis. 2018</w:t>
      </w:r>
      <w:proofErr w:type="gramStart"/>
      <w:r w:rsidRPr="004D2389">
        <w:t>;62</w:t>
      </w:r>
      <w:proofErr w:type="gramEnd"/>
      <w:r w:rsidRPr="004D2389">
        <w:t xml:space="preserve">(2):561-570. </w:t>
      </w:r>
      <w:proofErr w:type="spellStart"/>
      <w:proofErr w:type="gramStart"/>
      <w:r w:rsidRPr="004D2389">
        <w:t>doi</w:t>
      </w:r>
      <w:proofErr w:type="spellEnd"/>
      <w:proofErr w:type="gramEnd"/>
      <w:r w:rsidRPr="004D2389">
        <w:t>: 10.3233/JAD-171042.</w:t>
      </w:r>
    </w:p>
    <w:p w14:paraId="6554BD1D" w14:textId="5CB445DC" w:rsidR="004D2389" w:rsidRDefault="004D2389" w:rsidP="004D2389">
      <w:pPr>
        <w:pStyle w:val="ListParagraph"/>
        <w:numPr>
          <w:ilvl w:val="0"/>
          <w:numId w:val="21"/>
        </w:numPr>
        <w:ind w:left="360"/>
      </w:pPr>
      <w:r>
        <w:t xml:space="preserve">Press D, Alexander M. Prevention of dementia. </w:t>
      </w:r>
      <w:proofErr w:type="spellStart"/>
      <w:r>
        <w:t>UpToDate</w:t>
      </w:r>
      <w:proofErr w:type="spellEnd"/>
      <w:r>
        <w:t xml:space="preserve">. </w:t>
      </w:r>
      <w:proofErr w:type="spellStart"/>
      <w:r>
        <w:t>Dekosky</w:t>
      </w:r>
      <w:proofErr w:type="spellEnd"/>
      <w:r>
        <w:t xml:space="preserve"> ST, </w:t>
      </w:r>
      <w:proofErr w:type="spellStart"/>
      <w:r>
        <w:t>Schmader</w:t>
      </w:r>
      <w:proofErr w:type="spellEnd"/>
      <w:r>
        <w:t xml:space="preserve"> KE (Eds.) Accessed </w:t>
      </w:r>
      <w:r w:rsidR="00092FB4">
        <w:t>4/</w:t>
      </w:r>
      <w:r w:rsidR="00D23B92">
        <w:t>8</w:t>
      </w:r>
      <w:r w:rsidR="00A11401">
        <w:t>/</w:t>
      </w:r>
      <w:r>
        <w:t>201</w:t>
      </w:r>
      <w:r w:rsidR="00D23B92">
        <w:t>9</w:t>
      </w:r>
      <w:r>
        <w:t>.</w:t>
      </w:r>
    </w:p>
    <w:p w14:paraId="2E44585B" w14:textId="742DB619" w:rsidR="00E73BCB" w:rsidRDefault="00E73BCB" w:rsidP="00466401">
      <w:pPr>
        <w:pStyle w:val="ListParagraph"/>
        <w:numPr>
          <w:ilvl w:val="0"/>
          <w:numId w:val="21"/>
        </w:numPr>
        <w:ind w:left="360"/>
      </w:pPr>
      <w:r>
        <w:t xml:space="preserve">Bauer KA, Lip G.  </w:t>
      </w:r>
      <w:r w:rsidRPr="00E73BCB">
        <w:t>Evaluating adult patients with established venous thromboembolism for acquired and inherited risk factors</w:t>
      </w:r>
      <w:r w:rsidR="00B4573F">
        <w:t>.</w:t>
      </w:r>
      <w:r w:rsidR="00466401">
        <w:t xml:space="preserve">  </w:t>
      </w:r>
      <w:proofErr w:type="spellStart"/>
      <w:r w:rsidR="00466401">
        <w:t>UpToDate</w:t>
      </w:r>
      <w:proofErr w:type="spellEnd"/>
      <w:r w:rsidR="00466401">
        <w:t>.  Leung L, Mandel J (</w:t>
      </w:r>
      <w:proofErr w:type="spellStart"/>
      <w:r w:rsidR="00466401">
        <w:t>Eds</w:t>
      </w:r>
      <w:proofErr w:type="spellEnd"/>
      <w:r w:rsidR="00466401">
        <w:t xml:space="preserve">).  </w:t>
      </w:r>
      <w:r w:rsidR="00466401" w:rsidRPr="00466401">
        <w:t xml:space="preserve">In: </w:t>
      </w:r>
      <w:proofErr w:type="spellStart"/>
      <w:r w:rsidR="00466401" w:rsidRPr="00466401">
        <w:t>UpToDate</w:t>
      </w:r>
      <w:proofErr w:type="spellEnd"/>
      <w:r w:rsidR="00466401">
        <w:t>.  Accessed 4/10/19</w:t>
      </w:r>
    </w:p>
    <w:p w14:paraId="00008E64" w14:textId="77777777" w:rsidR="00092FB4" w:rsidRDefault="00B61773" w:rsidP="00092FB4">
      <w:pPr>
        <w:pStyle w:val="ListParagraph"/>
        <w:numPr>
          <w:ilvl w:val="0"/>
          <w:numId w:val="21"/>
        </w:numPr>
        <w:ind w:left="360"/>
      </w:pPr>
      <w:r w:rsidRPr="00B61773">
        <w:t xml:space="preserve">Bauer KA, Lip G.  </w:t>
      </w:r>
      <w:r w:rsidR="00092FB4" w:rsidRPr="00092FB4">
        <w:t>Overview of the causes of venous thrombosis</w:t>
      </w:r>
      <w:r w:rsidR="00092FB4">
        <w:t xml:space="preserve">.  </w:t>
      </w:r>
      <w:r w:rsidR="00092FB4" w:rsidRPr="00092FB4">
        <w:t>Leung L, Mandel J (</w:t>
      </w:r>
      <w:proofErr w:type="spellStart"/>
      <w:r w:rsidR="00092FB4" w:rsidRPr="00092FB4">
        <w:t>Eds</w:t>
      </w:r>
      <w:proofErr w:type="spellEnd"/>
      <w:r w:rsidR="00092FB4" w:rsidRPr="00092FB4">
        <w:t xml:space="preserve">).  In: </w:t>
      </w:r>
      <w:proofErr w:type="spellStart"/>
      <w:r w:rsidR="00092FB4" w:rsidRPr="00092FB4">
        <w:t>UpToDate</w:t>
      </w:r>
      <w:proofErr w:type="spellEnd"/>
      <w:r w:rsidR="00092FB4" w:rsidRPr="00092FB4">
        <w:t>.  Accessed 4/10/19</w:t>
      </w:r>
    </w:p>
    <w:p w14:paraId="5445EF3A" w14:textId="74B1302D" w:rsidR="00FD765F" w:rsidRDefault="00FD765F" w:rsidP="00FD765F">
      <w:pPr>
        <w:pStyle w:val="ListParagraph"/>
        <w:numPr>
          <w:ilvl w:val="0"/>
          <w:numId w:val="21"/>
        </w:numPr>
        <w:ind w:left="360"/>
      </w:pPr>
      <w:proofErr w:type="spellStart"/>
      <w:r w:rsidRPr="00FD765F">
        <w:t>Ospina</w:t>
      </w:r>
      <w:proofErr w:type="spellEnd"/>
      <w:r w:rsidRPr="00FD765F">
        <w:t xml:space="preserve">-Romero M, </w:t>
      </w:r>
      <w:proofErr w:type="spellStart"/>
      <w:r w:rsidRPr="00FD765F">
        <w:t>Cannegieter</w:t>
      </w:r>
      <w:proofErr w:type="spellEnd"/>
      <w:r w:rsidRPr="00FD765F">
        <w:t xml:space="preserve"> SC, den </w:t>
      </w:r>
      <w:proofErr w:type="spellStart"/>
      <w:r w:rsidRPr="00FD765F">
        <w:t>Heijer</w:t>
      </w:r>
      <w:proofErr w:type="spellEnd"/>
      <w:r w:rsidRPr="00FD765F">
        <w:t xml:space="preserve"> M, et al. </w:t>
      </w:r>
      <w:proofErr w:type="spellStart"/>
      <w:r w:rsidRPr="00FD765F">
        <w:t>Hyperhomocysteinemia</w:t>
      </w:r>
      <w:proofErr w:type="spellEnd"/>
      <w:r w:rsidRPr="00FD765F">
        <w:t xml:space="preserve"> and Risk of First Venous Thrombosis: The Influence of (Unmeasured) Confounding Factors. Am J </w:t>
      </w:r>
      <w:proofErr w:type="spellStart"/>
      <w:r w:rsidRPr="00FD765F">
        <w:t>Epidemiol</w:t>
      </w:r>
      <w:proofErr w:type="spellEnd"/>
      <w:r w:rsidRPr="00FD765F">
        <w:t xml:space="preserve"> 2018; </w:t>
      </w:r>
      <w:proofErr w:type="gramStart"/>
      <w:r w:rsidRPr="00FD765F">
        <w:t>187:1392.</w:t>
      </w:r>
      <w:proofErr w:type="gramEnd"/>
    </w:p>
    <w:p w14:paraId="5DE57624" w14:textId="124F2E5B" w:rsidR="00FD765F" w:rsidRPr="00092FB4" w:rsidRDefault="00FD765F" w:rsidP="00FD765F">
      <w:pPr>
        <w:pStyle w:val="ListParagraph"/>
        <w:numPr>
          <w:ilvl w:val="0"/>
          <w:numId w:val="21"/>
        </w:numPr>
        <w:ind w:left="360"/>
      </w:pPr>
      <w:proofErr w:type="gramStart"/>
      <w:r w:rsidRPr="00FD765F">
        <w:t>den</w:t>
      </w:r>
      <w:proofErr w:type="gramEnd"/>
      <w:r w:rsidRPr="00FD765F">
        <w:t xml:space="preserve"> </w:t>
      </w:r>
      <w:proofErr w:type="spellStart"/>
      <w:r w:rsidRPr="00FD765F">
        <w:t>Heijer</w:t>
      </w:r>
      <w:proofErr w:type="spellEnd"/>
      <w:r w:rsidRPr="00FD765F">
        <w:t xml:space="preserve"> M, Willems HP, </w:t>
      </w:r>
      <w:proofErr w:type="spellStart"/>
      <w:r w:rsidRPr="00FD765F">
        <w:t>Blom</w:t>
      </w:r>
      <w:proofErr w:type="spellEnd"/>
      <w:r w:rsidRPr="00FD765F">
        <w:t xml:space="preserve"> HJ, et al.  Homocysteine lowering by B vitamins and the secondary prevention of deep vein thrombosis and pulmonary embolism: A randomized, placebo-controlled, double-blind trial.  Blood. 2007 Jan 1</w:t>
      </w:r>
      <w:proofErr w:type="gramStart"/>
      <w:r w:rsidRPr="00FD765F">
        <w:t>;109</w:t>
      </w:r>
      <w:proofErr w:type="gramEnd"/>
      <w:r w:rsidRPr="00FD765F">
        <w:t xml:space="preserve">(1):139-44. </w:t>
      </w:r>
      <w:proofErr w:type="spellStart"/>
      <w:r w:rsidRPr="00FD765F">
        <w:t>Epub</w:t>
      </w:r>
      <w:proofErr w:type="spellEnd"/>
      <w:r w:rsidRPr="00FD765F">
        <w:t xml:space="preserve"> 2006 Sep 7.</w:t>
      </w:r>
    </w:p>
    <w:p w14:paraId="5EB3DDC3" w14:textId="7E5D3595" w:rsidR="00B61773" w:rsidRPr="0009453E" w:rsidRDefault="00F946EE" w:rsidP="00DA45C3">
      <w:pPr>
        <w:pStyle w:val="ListParagraph"/>
        <w:numPr>
          <w:ilvl w:val="0"/>
          <w:numId w:val="21"/>
        </w:numPr>
        <w:ind w:left="360"/>
      </w:pPr>
      <w:proofErr w:type="spellStart"/>
      <w:r w:rsidRPr="00F946EE">
        <w:t>Hoţoleanu</w:t>
      </w:r>
      <w:proofErr w:type="spellEnd"/>
      <w:r w:rsidRPr="00F946EE">
        <w:t xml:space="preserve"> C, </w:t>
      </w:r>
      <w:proofErr w:type="spellStart"/>
      <w:r w:rsidRPr="00F946EE">
        <w:t>Porojan-Iuga</w:t>
      </w:r>
      <w:proofErr w:type="spellEnd"/>
      <w:r w:rsidRPr="00F946EE">
        <w:t xml:space="preserve"> M, </w:t>
      </w:r>
      <w:proofErr w:type="spellStart"/>
      <w:r w:rsidRPr="00F946EE">
        <w:t>Rusu</w:t>
      </w:r>
      <w:proofErr w:type="spellEnd"/>
      <w:r w:rsidRPr="00F946EE">
        <w:t xml:space="preserve"> ML, </w:t>
      </w:r>
      <w:proofErr w:type="spellStart"/>
      <w:r w:rsidRPr="00F946EE">
        <w:t>Andercou</w:t>
      </w:r>
      <w:proofErr w:type="spellEnd"/>
      <w:r w:rsidRPr="00F946EE">
        <w:t xml:space="preserve"> A.  </w:t>
      </w:r>
      <w:proofErr w:type="spellStart"/>
      <w:r w:rsidRPr="00F946EE">
        <w:t>Hyperhomocysteinemia</w:t>
      </w:r>
      <w:proofErr w:type="spellEnd"/>
      <w:r w:rsidRPr="00F946EE">
        <w:t xml:space="preserve">: clinical and </w:t>
      </w:r>
      <w:proofErr w:type="spellStart"/>
      <w:r w:rsidRPr="00F946EE">
        <w:t>therapeutical</w:t>
      </w:r>
      <w:proofErr w:type="spellEnd"/>
      <w:r w:rsidRPr="00F946EE">
        <w:t xml:space="preserve"> involvement in venous thrombosis.  Rom J Intern Med. 2007</w:t>
      </w:r>
      <w:proofErr w:type="gramStart"/>
      <w:r w:rsidRPr="00F946EE">
        <w:t>;45</w:t>
      </w:r>
      <w:proofErr w:type="gramEnd"/>
      <w:r w:rsidRPr="00F946EE">
        <w:t>(2):159-64.</w:t>
      </w:r>
    </w:p>
    <w:p w14:paraId="6554BD1E" w14:textId="77777777" w:rsidR="00E51102" w:rsidRDefault="00E51102" w:rsidP="00963062"/>
    <w:p w14:paraId="6554BD1F" w14:textId="77777777" w:rsidR="00E51102" w:rsidRPr="00146C6E" w:rsidRDefault="00E51102" w:rsidP="00146C6E">
      <w:pPr>
        <w:rPr>
          <w:b/>
          <w:u w:val="single"/>
        </w:rPr>
      </w:pPr>
      <w:bookmarkStart w:id="3" w:name="Important_Reminder"/>
      <w:r w:rsidRPr="00146C6E">
        <w:rPr>
          <w:b/>
          <w:bCs/>
          <w:u w:val="single"/>
        </w:rPr>
        <w:t>Important Reminder</w:t>
      </w:r>
      <w:bookmarkEnd w:id="3"/>
    </w:p>
    <w:p w14:paraId="6554BD20" w14:textId="77777777" w:rsidR="00E51102" w:rsidRPr="00146C6E" w:rsidRDefault="00E51102" w:rsidP="00146C6E">
      <w:r w:rsidRPr="00146C6E">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w:t>
      </w:r>
      <w:r w:rsidRPr="00146C6E">
        <w:lastRenderedPageBreak/>
        <w:t xml:space="preserve">policy; and other available clinical information. </w:t>
      </w:r>
      <w:r w:rsidRPr="00146C6E">
        <w:rPr>
          <w:iCs/>
        </w:rPr>
        <w:t>The Health Plan</w:t>
      </w:r>
      <w:r w:rsidRPr="00146C6E">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6554BD21" w14:textId="77777777" w:rsidR="00E51102" w:rsidRPr="00146C6E" w:rsidRDefault="00E51102" w:rsidP="00146C6E"/>
    <w:p w14:paraId="6554BD22" w14:textId="77777777" w:rsidR="00E51102" w:rsidRPr="00146C6E" w:rsidRDefault="00E51102" w:rsidP="00146C6E">
      <w:r w:rsidRPr="00146C6E">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6554BD23" w14:textId="77777777" w:rsidR="00E51102" w:rsidRPr="00146C6E" w:rsidRDefault="00E51102" w:rsidP="00146C6E"/>
    <w:p w14:paraId="6554BD24" w14:textId="77777777" w:rsidR="00E51102" w:rsidRPr="00146C6E" w:rsidRDefault="00E51102" w:rsidP="00146C6E">
      <w:pPr>
        <w:rPr>
          <w:color w:val="002868"/>
        </w:rPr>
      </w:pPr>
      <w:r w:rsidRPr="00146C6E">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6554BD25" w14:textId="77777777" w:rsidR="00E51102" w:rsidRPr="00146C6E" w:rsidRDefault="00E51102" w:rsidP="00146C6E"/>
    <w:p w14:paraId="6554BD26" w14:textId="77777777" w:rsidR="00E51102" w:rsidRPr="00146C6E" w:rsidRDefault="00E51102" w:rsidP="00146C6E">
      <w:r w:rsidRPr="00146C6E">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6554BD27" w14:textId="77777777" w:rsidR="00E51102" w:rsidRPr="00146C6E" w:rsidRDefault="00E51102" w:rsidP="00146C6E"/>
    <w:p w14:paraId="6554BD28" w14:textId="77777777" w:rsidR="00E51102" w:rsidRPr="00146C6E" w:rsidRDefault="00E51102" w:rsidP="00146C6E">
      <w:r w:rsidRPr="00146C6E">
        <w:t>Providers referred to in this clinical policy are independent contractors who exercise independent judgment and over whom the Health Plan has no control or right of control.  Providers are not agents or employees of the Health Plan.</w:t>
      </w:r>
    </w:p>
    <w:p w14:paraId="6554BD29" w14:textId="77777777" w:rsidR="00E51102" w:rsidRPr="00146C6E" w:rsidRDefault="00E51102" w:rsidP="00146C6E"/>
    <w:p w14:paraId="6554BD2A" w14:textId="77777777" w:rsidR="00E51102" w:rsidRPr="00146C6E" w:rsidRDefault="00E51102" w:rsidP="00146C6E">
      <w:r w:rsidRPr="00146C6E">
        <w:t xml:space="preserve">This clinical policy is the property of </w:t>
      </w:r>
      <w:r w:rsidRPr="00146C6E">
        <w:rPr>
          <w:iCs/>
        </w:rPr>
        <w:t>the Health Plan</w:t>
      </w:r>
      <w:r w:rsidRPr="00146C6E">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6554BD2B" w14:textId="77777777" w:rsidR="00E51102" w:rsidRPr="00146C6E" w:rsidRDefault="00E51102" w:rsidP="00146C6E">
      <w:pPr>
        <w:autoSpaceDE w:val="0"/>
        <w:autoSpaceDN w:val="0"/>
        <w:adjustRightInd w:val="0"/>
        <w:rPr>
          <w:color w:val="000000"/>
        </w:rPr>
      </w:pPr>
    </w:p>
    <w:p w14:paraId="6554BD2C" w14:textId="77777777" w:rsidR="00E51102" w:rsidRPr="00146C6E" w:rsidRDefault="00E51102" w:rsidP="00146C6E">
      <w:pPr>
        <w:autoSpaceDE w:val="0"/>
        <w:autoSpaceDN w:val="0"/>
        <w:adjustRightInd w:val="0"/>
        <w:rPr>
          <w:color w:val="000000"/>
        </w:rPr>
      </w:pPr>
      <w:r w:rsidRPr="00146C6E">
        <w:rPr>
          <w:b/>
          <w:color w:val="000000"/>
        </w:rPr>
        <w:t>Note: For Medicaid members</w:t>
      </w:r>
      <w:r w:rsidRPr="00146C6E">
        <w:rPr>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6554BD2D" w14:textId="77777777" w:rsidR="00E51102" w:rsidRPr="00146C6E" w:rsidRDefault="00E51102" w:rsidP="00146C6E"/>
    <w:p w14:paraId="6554BD2E" w14:textId="77777777" w:rsidR="00E51102" w:rsidRPr="00146C6E" w:rsidRDefault="00E51102" w:rsidP="00146C6E">
      <w:pPr>
        <w:autoSpaceDE w:val="0"/>
        <w:autoSpaceDN w:val="0"/>
        <w:adjustRightInd w:val="0"/>
        <w:rPr>
          <w:color w:val="000000"/>
        </w:rPr>
      </w:pPr>
      <w:r w:rsidRPr="00146C6E">
        <w:rPr>
          <w:b/>
          <w:bCs/>
          <w:color w:val="000000"/>
        </w:rPr>
        <w:lastRenderedPageBreak/>
        <w:t xml:space="preserve">Note: For Medicare members, </w:t>
      </w:r>
      <w:r w:rsidRPr="00146C6E">
        <w:rPr>
          <w:color w:val="000000"/>
        </w:rPr>
        <w:t>to ensure consistency with the Medicare National Coverage Determinations (NCD) and Local Coverage Determinations (LCD), all applicable NCDs</w:t>
      </w:r>
      <w:r w:rsidR="003F420F">
        <w:rPr>
          <w:color w:val="000000"/>
        </w:rPr>
        <w:t>,</w:t>
      </w:r>
      <w:r w:rsidRPr="00146C6E">
        <w:rPr>
          <w:color w:val="000000"/>
        </w:rPr>
        <w:t xml:space="preserve"> LCDs</w:t>
      </w:r>
      <w:r w:rsidR="003F420F">
        <w:rPr>
          <w:color w:val="000000"/>
        </w:rPr>
        <w:t>, and Medicare Coverage Articles</w:t>
      </w:r>
      <w:r w:rsidRPr="00146C6E">
        <w:rPr>
          <w:color w:val="000000"/>
        </w:rPr>
        <w:t xml:space="preserve"> should be reviewed </w:t>
      </w:r>
      <w:r w:rsidRPr="00146C6E">
        <w:rPr>
          <w:color w:val="000000"/>
          <w:u w:val="single"/>
        </w:rPr>
        <w:t>prior to</w:t>
      </w:r>
      <w:r w:rsidRPr="00146C6E">
        <w:rPr>
          <w:color w:val="000000"/>
        </w:rPr>
        <w:t xml:space="preserve"> applying the criteria set forth in this clinical policy. Refer to the CMS website at </w:t>
      </w:r>
      <w:hyperlink r:id="rId15" w:history="1">
        <w:r w:rsidRPr="00146C6E">
          <w:rPr>
            <w:color w:val="000000"/>
            <w:u w:val="single"/>
          </w:rPr>
          <w:t>http://www.cms.gov</w:t>
        </w:r>
      </w:hyperlink>
      <w:r w:rsidRPr="00146C6E">
        <w:rPr>
          <w:color w:val="000000"/>
        </w:rPr>
        <w:t xml:space="preserve"> for additional information. </w:t>
      </w:r>
    </w:p>
    <w:p w14:paraId="6554BD2F" w14:textId="77777777" w:rsidR="00E51102" w:rsidRPr="00146C6E" w:rsidRDefault="00E51102" w:rsidP="00146C6E">
      <w:pPr>
        <w:rPr>
          <w:iCs/>
        </w:rPr>
      </w:pPr>
    </w:p>
    <w:p w14:paraId="6554BD30" w14:textId="77777777" w:rsidR="00E51102" w:rsidRPr="00D9638C" w:rsidRDefault="00E51102" w:rsidP="00AF5490">
      <w:pPr>
        <w:rPr>
          <w:iCs/>
        </w:rPr>
      </w:pPr>
      <w:r w:rsidRPr="00146C6E">
        <w:rPr>
          <w:iCs/>
        </w:rPr>
        <w:t>©2016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146C6E">
        <w:rPr>
          <w:iCs/>
          <w:vertAlign w:val="superscript"/>
        </w:rPr>
        <w:t>®</w:t>
      </w:r>
      <w:r w:rsidRPr="00146C6E">
        <w:rPr>
          <w:iCs/>
        </w:rPr>
        <w:t xml:space="preserve"> and Centene Corporation</w:t>
      </w:r>
      <w:r w:rsidRPr="00146C6E">
        <w:rPr>
          <w:iCs/>
          <w:vertAlign w:val="superscript"/>
        </w:rPr>
        <w:t>®</w:t>
      </w:r>
      <w:r w:rsidRPr="00146C6E">
        <w:rPr>
          <w:iCs/>
        </w:rPr>
        <w:t xml:space="preserve"> are registered trademarks exclusively owned by Centene Corporation.</w:t>
      </w:r>
    </w:p>
    <w:sectPr w:rsidR="00E51102" w:rsidRPr="00D9638C"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4BD33" w14:textId="77777777" w:rsidR="004460C4" w:rsidRDefault="004460C4">
      <w:r>
        <w:separator/>
      </w:r>
    </w:p>
  </w:endnote>
  <w:endnote w:type="continuationSeparator" w:id="0">
    <w:p w14:paraId="6554BD34" w14:textId="77777777" w:rsidR="004460C4" w:rsidRDefault="00446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4BD37" w14:textId="26D56ECF" w:rsidR="00E51102" w:rsidRPr="00D574CA" w:rsidRDefault="00E51102" w:rsidP="00D574CA">
    <w:pPr>
      <w:pStyle w:val="Footer"/>
      <w:jc w:val="center"/>
    </w:pPr>
    <w:r>
      <w:t xml:space="preserve">Page </w:t>
    </w:r>
    <w:r>
      <w:rPr>
        <w:b/>
        <w:bCs/>
      </w:rPr>
      <w:fldChar w:fldCharType="begin"/>
    </w:r>
    <w:r>
      <w:rPr>
        <w:b/>
        <w:bCs/>
      </w:rPr>
      <w:instrText xml:space="preserve"> PAGE </w:instrText>
    </w:r>
    <w:r>
      <w:rPr>
        <w:b/>
        <w:bCs/>
      </w:rPr>
      <w:fldChar w:fldCharType="separate"/>
    </w:r>
    <w:r w:rsidR="001F05DD">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1F05DD">
      <w:rPr>
        <w:b/>
        <w:bCs/>
        <w:noProof/>
      </w:rPr>
      <w:t>6</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4BD39" w14:textId="5A241B92" w:rsidR="00E51102" w:rsidRDefault="00E51102" w:rsidP="002C6AAB">
    <w:pPr>
      <w:pStyle w:val="Footer"/>
      <w:jc w:val="center"/>
    </w:pPr>
    <w:r>
      <w:t xml:space="preserve">Page </w:t>
    </w:r>
    <w:r w:rsidR="006E6E77">
      <w:fldChar w:fldCharType="begin"/>
    </w:r>
    <w:r w:rsidR="006E6E77">
      <w:instrText xml:space="preserve"> PAGE   \* MERGEFORMAT </w:instrText>
    </w:r>
    <w:r w:rsidR="006E6E77">
      <w:fldChar w:fldCharType="separate"/>
    </w:r>
    <w:r w:rsidR="001F05DD">
      <w:rPr>
        <w:noProof/>
      </w:rPr>
      <w:t>1</w:t>
    </w:r>
    <w:r w:rsidR="006E6E77">
      <w:rPr>
        <w:noProof/>
      </w:rPr>
      <w:fldChar w:fldCharType="end"/>
    </w:r>
    <w:r>
      <w:t xml:space="preserve"> of </w:t>
    </w:r>
    <w:r w:rsidR="005F06C8">
      <w:rPr>
        <w:noProof/>
      </w:rPr>
      <w:fldChar w:fldCharType="begin"/>
    </w:r>
    <w:r w:rsidR="005F06C8">
      <w:rPr>
        <w:noProof/>
      </w:rPr>
      <w:instrText xml:space="preserve"> NUMPAGES   \* MERGEFORMAT </w:instrText>
    </w:r>
    <w:r w:rsidR="005F06C8">
      <w:rPr>
        <w:noProof/>
      </w:rPr>
      <w:fldChar w:fldCharType="separate"/>
    </w:r>
    <w:r w:rsidR="001F05DD">
      <w:rPr>
        <w:noProof/>
      </w:rPr>
      <w:t>6</w:t>
    </w:r>
    <w:r w:rsidR="005F06C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4BD31" w14:textId="77777777" w:rsidR="004460C4" w:rsidRDefault="004460C4">
      <w:r>
        <w:separator/>
      </w:r>
    </w:p>
  </w:footnote>
  <w:footnote w:type="continuationSeparator" w:id="0">
    <w:p w14:paraId="6554BD32" w14:textId="77777777" w:rsidR="004460C4" w:rsidRDefault="00446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4BD35" w14:textId="77777777" w:rsidR="00E51102" w:rsidRPr="00B777AF" w:rsidRDefault="00E51102"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sidR="002116CA">
      <w:rPr>
        <w:noProof/>
        <w:color w:val="00548C"/>
      </w:rPr>
      <w:drawing>
        <wp:inline distT="0" distB="0" distL="0" distR="0" wp14:anchorId="6554BD3A" wp14:editId="6554BD3B">
          <wp:extent cx="904875" cy="240665"/>
          <wp:effectExtent l="0" t="0" r="9525" b="698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40665"/>
                  </a:xfrm>
                  <a:prstGeom prst="rect">
                    <a:avLst/>
                  </a:prstGeom>
                  <a:noFill/>
                  <a:ln>
                    <a:noFill/>
                  </a:ln>
                </pic:spPr>
              </pic:pic>
            </a:graphicData>
          </a:graphic>
        </wp:inline>
      </w:drawing>
    </w:r>
  </w:p>
  <w:p w14:paraId="6554BD36" w14:textId="77777777" w:rsidR="00E51102" w:rsidRPr="00B777AF" w:rsidRDefault="00E51102" w:rsidP="00B777AF">
    <w:pPr>
      <w:rPr>
        <w:color w:val="00548C"/>
      </w:rPr>
    </w:pPr>
    <w:r>
      <w:rPr>
        <w:rFonts w:ascii="Times New Roman Bold" w:hAnsi="Times New Roman Bold"/>
        <w:b/>
        <w:bCs/>
        <w:color w:val="00548C"/>
      </w:rPr>
      <w:t>Homocysteine Testing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4BD38" w14:textId="77777777" w:rsidR="00E51102" w:rsidRDefault="002116CA" w:rsidP="00B777AF">
    <w:pPr>
      <w:pStyle w:val="Header"/>
      <w:jc w:val="right"/>
    </w:pPr>
    <w:r>
      <w:rPr>
        <w:noProof/>
      </w:rPr>
      <w:drawing>
        <wp:inline distT="0" distB="0" distL="0" distR="0" wp14:anchorId="6554BD3C" wp14:editId="6554BD3D">
          <wp:extent cx="1366520" cy="346710"/>
          <wp:effectExtent l="0" t="0" r="5080" b="0"/>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520" cy="3467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E7697"/>
    <w:multiLevelType w:val="hybridMultilevel"/>
    <w:tmpl w:val="96D856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31E0E99"/>
    <w:multiLevelType w:val="hybridMultilevel"/>
    <w:tmpl w:val="5FFA82B8"/>
    <w:lvl w:ilvl="0" w:tplc="04090019">
      <w:start w:val="1"/>
      <w:numFmt w:val="lowerLetter"/>
      <w:lvlText w:val="%1."/>
      <w:lvlJc w:val="left"/>
      <w:pPr>
        <w:ind w:left="1440" w:hanging="360"/>
      </w:pPr>
      <w:rPr>
        <w:rFonts w:cs="Times New Roman"/>
      </w:rPr>
    </w:lvl>
    <w:lvl w:ilvl="1" w:tplc="0409001B">
      <w:start w:val="1"/>
      <w:numFmt w:val="lowerRoman"/>
      <w:lvlText w:val="%2."/>
      <w:lvlJc w:val="right"/>
      <w:pPr>
        <w:ind w:left="2160" w:hanging="360"/>
      </w:pPr>
      <w:rPr>
        <w:rFonts w:cs="Times New Roman" w:hint="default"/>
        <w:sz w:val="20"/>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1E7A6984"/>
    <w:multiLevelType w:val="hybridMultilevel"/>
    <w:tmpl w:val="387EA7BC"/>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500B2"/>
    <w:multiLevelType w:val="hybridMultilevel"/>
    <w:tmpl w:val="CB5AF886"/>
    <w:lvl w:ilvl="0" w:tplc="6CC06064">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6A01436"/>
    <w:multiLevelType w:val="hybridMultilevel"/>
    <w:tmpl w:val="D236E140"/>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75F0A"/>
    <w:multiLevelType w:val="hybridMultilevel"/>
    <w:tmpl w:val="D236E140"/>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51B1E"/>
    <w:multiLevelType w:val="hybridMultilevel"/>
    <w:tmpl w:val="B204E92A"/>
    <w:lvl w:ilvl="0" w:tplc="26CA68AC">
      <w:start w:val="1"/>
      <w:numFmt w:val="upperRoman"/>
      <w:lvlText w:val="%1."/>
      <w:lvlJc w:val="left"/>
      <w:pPr>
        <w:ind w:left="720" w:hanging="360"/>
      </w:pPr>
      <w:rPr>
        <w:rFonts w:cs="Times New Roman" w:hint="default"/>
        <w:b/>
      </w:rPr>
    </w:lvl>
    <w:lvl w:ilvl="1" w:tplc="56CC320A">
      <w:start w:val="1"/>
      <w:numFmt w:val="upperLetter"/>
      <w:lvlText w:val="%2."/>
      <w:lvlJc w:val="left"/>
      <w:pPr>
        <w:ind w:left="1440" w:hanging="360"/>
      </w:pPr>
      <w:rPr>
        <w:rFonts w:cs="Times New Roman"/>
        <w:b/>
      </w:rPr>
    </w:lvl>
    <w:lvl w:ilvl="2" w:tplc="B0D8E88E">
      <w:start w:val="1"/>
      <w:numFmt w:val="decimal"/>
      <w:lvlText w:val="%3."/>
      <w:lvlJc w:val="left"/>
      <w:pPr>
        <w:ind w:left="2160" w:hanging="180"/>
      </w:pPr>
      <w:rPr>
        <w:rFonts w:cs="Times New Roman"/>
        <w:b/>
      </w:rPr>
    </w:lvl>
    <w:lvl w:ilvl="3" w:tplc="04090019">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1497053"/>
    <w:multiLevelType w:val="hybridMultilevel"/>
    <w:tmpl w:val="BE262ED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586063C"/>
    <w:multiLevelType w:val="hybridMultilevel"/>
    <w:tmpl w:val="04382478"/>
    <w:lvl w:ilvl="0" w:tplc="5C220D9E">
      <w:start w:val="1"/>
      <w:numFmt w:val="decimal"/>
      <w:lvlText w:val="%1."/>
      <w:lvlJc w:val="left"/>
      <w:pPr>
        <w:ind w:left="720" w:hanging="360"/>
      </w:pPr>
      <w:rPr>
        <w:rFonts w:cs="Times New Roman" w:hint="default"/>
        <w:b w:val="0"/>
      </w:rPr>
    </w:lvl>
    <w:lvl w:ilvl="1" w:tplc="6CC06064">
      <w:start w:val="1"/>
      <w:numFmt w:val="lowerLetter"/>
      <w:lvlText w:val="%2."/>
      <w:lvlJc w:val="left"/>
      <w:pPr>
        <w:ind w:left="1440" w:hanging="360"/>
      </w:pPr>
      <w:rPr>
        <w:rFonts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B68E6"/>
    <w:multiLevelType w:val="hybridMultilevel"/>
    <w:tmpl w:val="F330294A"/>
    <w:lvl w:ilvl="0" w:tplc="D0FE5CC8">
      <w:start w:val="1"/>
      <w:numFmt w:val="lowerRoman"/>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11" w15:restartNumberingAfterBreak="0">
    <w:nsid w:val="3A231C77"/>
    <w:multiLevelType w:val="hybridMultilevel"/>
    <w:tmpl w:val="553682CE"/>
    <w:lvl w:ilvl="0" w:tplc="A244BB9A">
      <w:start w:val="1"/>
      <w:numFmt w:val="upperLetter"/>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3EBE345C"/>
    <w:multiLevelType w:val="hybridMultilevel"/>
    <w:tmpl w:val="387EA7BC"/>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D365D0"/>
    <w:multiLevelType w:val="hybridMultilevel"/>
    <w:tmpl w:val="D55A7940"/>
    <w:lvl w:ilvl="0" w:tplc="F85C9D98">
      <w:start w:val="1"/>
      <w:numFmt w:val="upperLetter"/>
      <w:lvlText w:val="%1."/>
      <w:lvlJc w:val="left"/>
      <w:pPr>
        <w:ind w:left="720" w:hanging="360"/>
      </w:pPr>
      <w:rPr>
        <w:rFonts w:cs="Times New Roman"/>
        <w:b w:val="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50746AA"/>
    <w:multiLevelType w:val="hybridMultilevel"/>
    <w:tmpl w:val="7B9A4726"/>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D1434D"/>
    <w:multiLevelType w:val="hybridMultilevel"/>
    <w:tmpl w:val="3806A6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F600535"/>
    <w:multiLevelType w:val="hybridMultilevel"/>
    <w:tmpl w:val="0A58192A"/>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75F03EF0"/>
    <w:multiLevelType w:val="hybridMultilevel"/>
    <w:tmpl w:val="9DAA27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D1E3D0A"/>
    <w:multiLevelType w:val="hybridMultilevel"/>
    <w:tmpl w:val="861A07CA"/>
    <w:lvl w:ilvl="0" w:tplc="6BAC0802">
      <w:start w:val="1"/>
      <w:numFmt w:val="upperRoman"/>
      <w:lvlText w:val="%1."/>
      <w:lvlJc w:val="left"/>
      <w:pPr>
        <w:ind w:left="720" w:hanging="360"/>
      </w:pPr>
      <w:rPr>
        <w:rFonts w:cs="Times New Roman" w:hint="default"/>
        <w:b/>
        <w:i w:val="0"/>
      </w:rPr>
    </w:lvl>
    <w:lvl w:ilvl="1" w:tplc="04090015">
      <w:start w:val="1"/>
      <w:numFmt w:val="upp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19">
      <w:start w:val="1"/>
      <w:numFmt w:val="lowerLetter"/>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7"/>
  </w:num>
  <w:num w:numId="4">
    <w:abstractNumId w:val="10"/>
  </w:num>
  <w:num w:numId="5">
    <w:abstractNumId w:val="11"/>
  </w:num>
  <w:num w:numId="6">
    <w:abstractNumId w:val="15"/>
  </w:num>
  <w:num w:numId="7">
    <w:abstractNumId w:val="16"/>
  </w:num>
  <w:num w:numId="8">
    <w:abstractNumId w:val="1"/>
  </w:num>
  <w:num w:numId="9">
    <w:abstractNumId w:val="13"/>
  </w:num>
  <w:num w:numId="10">
    <w:abstractNumId w:val="5"/>
  </w:num>
  <w:num w:numId="11">
    <w:abstractNumId w:val="19"/>
  </w:num>
  <w:num w:numId="12">
    <w:abstractNumId w:val="9"/>
  </w:num>
  <w:num w:numId="13">
    <w:abstractNumId w:val="8"/>
  </w:num>
  <w:num w:numId="14">
    <w:abstractNumId w:val="3"/>
  </w:num>
  <w:num w:numId="15">
    <w:abstractNumId w:val="6"/>
  </w:num>
  <w:num w:numId="16">
    <w:abstractNumId w:val="17"/>
  </w:num>
  <w:num w:numId="17">
    <w:abstractNumId w:val="14"/>
  </w:num>
  <w:num w:numId="18">
    <w:abstractNumId w:val="12"/>
  </w:num>
  <w:num w:numId="19">
    <w:abstractNumId w:val="4"/>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002A7"/>
    <w:rsid w:val="000237D3"/>
    <w:rsid w:val="00032D3F"/>
    <w:rsid w:val="0003724D"/>
    <w:rsid w:val="0004176D"/>
    <w:rsid w:val="000465DE"/>
    <w:rsid w:val="0004733E"/>
    <w:rsid w:val="00050CF5"/>
    <w:rsid w:val="00060509"/>
    <w:rsid w:val="000658AB"/>
    <w:rsid w:val="00075B0E"/>
    <w:rsid w:val="00083740"/>
    <w:rsid w:val="00092FB4"/>
    <w:rsid w:val="00094136"/>
    <w:rsid w:val="0009453E"/>
    <w:rsid w:val="000B0A82"/>
    <w:rsid w:val="000B6BE8"/>
    <w:rsid w:val="000E5939"/>
    <w:rsid w:val="000F10C2"/>
    <w:rsid w:val="000F4C0A"/>
    <w:rsid w:val="001148A8"/>
    <w:rsid w:val="00136EAE"/>
    <w:rsid w:val="00142570"/>
    <w:rsid w:val="0014316D"/>
    <w:rsid w:val="00146C6E"/>
    <w:rsid w:val="0016385D"/>
    <w:rsid w:val="00170B14"/>
    <w:rsid w:val="00180D18"/>
    <w:rsid w:val="001818D7"/>
    <w:rsid w:val="00185104"/>
    <w:rsid w:val="001908AB"/>
    <w:rsid w:val="001962BE"/>
    <w:rsid w:val="00196689"/>
    <w:rsid w:val="00196935"/>
    <w:rsid w:val="0019746F"/>
    <w:rsid w:val="001A57C9"/>
    <w:rsid w:val="001D0D34"/>
    <w:rsid w:val="001D70D4"/>
    <w:rsid w:val="001E1AA0"/>
    <w:rsid w:val="001E7D12"/>
    <w:rsid w:val="001F05DD"/>
    <w:rsid w:val="001F1F93"/>
    <w:rsid w:val="00200A90"/>
    <w:rsid w:val="0020675F"/>
    <w:rsid w:val="002116CA"/>
    <w:rsid w:val="00211E3C"/>
    <w:rsid w:val="00215062"/>
    <w:rsid w:val="00220736"/>
    <w:rsid w:val="00224EB2"/>
    <w:rsid w:val="00230FE4"/>
    <w:rsid w:val="00233651"/>
    <w:rsid w:val="00254020"/>
    <w:rsid w:val="0025452A"/>
    <w:rsid w:val="002618AC"/>
    <w:rsid w:val="00285997"/>
    <w:rsid w:val="002A39EE"/>
    <w:rsid w:val="002B0582"/>
    <w:rsid w:val="002B50D8"/>
    <w:rsid w:val="002C1473"/>
    <w:rsid w:val="002C6AAB"/>
    <w:rsid w:val="002C6E71"/>
    <w:rsid w:val="002D019A"/>
    <w:rsid w:val="002E317D"/>
    <w:rsid w:val="002E48E7"/>
    <w:rsid w:val="002E7F7F"/>
    <w:rsid w:val="003140D6"/>
    <w:rsid w:val="003226F0"/>
    <w:rsid w:val="00336E37"/>
    <w:rsid w:val="00350F22"/>
    <w:rsid w:val="00354A1D"/>
    <w:rsid w:val="003840CC"/>
    <w:rsid w:val="003941D4"/>
    <w:rsid w:val="003D7BE7"/>
    <w:rsid w:val="003F3D44"/>
    <w:rsid w:val="003F420F"/>
    <w:rsid w:val="003F4EE0"/>
    <w:rsid w:val="00401A84"/>
    <w:rsid w:val="004104E2"/>
    <w:rsid w:val="00425EB3"/>
    <w:rsid w:val="004460C4"/>
    <w:rsid w:val="00466401"/>
    <w:rsid w:val="00471FC3"/>
    <w:rsid w:val="00472C6C"/>
    <w:rsid w:val="00480C09"/>
    <w:rsid w:val="00486637"/>
    <w:rsid w:val="00493710"/>
    <w:rsid w:val="00496BCF"/>
    <w:rsid w:val="00497AED"/>
    <w:rsid w:val="004B0701"/>
    <w:rsid w:val="004C1538"/>
    <w:rsid w:val="004D0FFC"/>
    <w:rsid w:val="004D1EC2"/>
    <w:rsid w:val="004D2389"/>
    <w:rsid w:val="004E0B99"/>
    <w:rsid w:val="004F6394"/>
    <w:rsid w:val="00503F38"/>
    <w:rsid w:val="00505830"/>
    <w:rsid w:val="00507DC0"/>
    <w:rsid w:val="005103B8"/>
    <w:rsid w:val="00513C1D"/>
    <w:rsid w:val="005144C0"/>
    <w:rsid w:val="005243F8"/>
    <w:rsid w:val="00533DAB"/>
    <w:rsid w:val="005423D4"/>
    <w:rsid w:val="005537B0"/>
    <w:rsid w:val="00556CBA"/>
    <w:rsid w:val="00560CD9"/>
    <w:rsid w:val="005776FD"/>
    <w:rsid w:val="00583376"/>
    <w:rsid w:val="00583F53"/>
    <w:rsid w:val="00591B49"/>
    <w:rsid w:val="005975B2"/>
    <w:rsid w:val="005C0EA7"/>
    <w:rsid w:val="005C17DF"/>
    <w:rsid w:val="005C3607"/>
    <w:rsid w:val="005D009F"/>
    <w:rsid w:val="005D5146"/>
    <w:rsid w:val="005D6347"/>
    <w:rsid w:val="005D7B81"/>
    <w:rsid w:val="005E117C"/>
    <w:rsid w:val="005E224E"/>
    <w:rsid w:val="005E2D8B"/>
    <w:rsid w:val="005E411E"/>
    <w:rsid w:val="005F06C8"/>
    <w:rsid w:val="00601301"/>
    <w:rsid w:val="006474BB"/>
    <w:rsid w:val="006664E9"/>
    <w:rsid w:val="006C4EF6"/>
    <w:rsid w:val="006C74DF"/>
    <w:rsid w:val="006C7885"/>
    <w:rsid w:val="006D1C83"/>
    <w:rsid w:val="006E2B80"/>
    <w:rsid w:val="006E6E77"/>
    <w:rsid w:val="006F4786"/>
    <w:rsid w:val="006F4D70"/>
    <w:rsid w:val="006F672D"/>
    <w:rsid w:val="00701492"/>
    <w:rsid w:val="0070491D"/>
    <w:rsid w:val="00710E12"/>
    <w:rsid w:val="007138F6"/>
    <w:rsid w:val="00744250"/>
    <w:rsid w:val="007764CE"/>
    <w:rsid w:val="007A0BCC"/>
    <w:rsid w:val="007B07AE"/>
    <w:rsid w:val="007B50D0"/>
    <w:rsid w:val="007D4801"/>
    <w:rsid w:val="007F1F19"/>
    <w:rsid w:val="00805A87"/>
    <w:rsid w:val="00831D88"/>
    <w:rsid w:val="00844558"/>
    <w:rsid w:val="00847709"/>
    <w:rsid w:val="00852836"/>
    <w:rsid w:val="00853325"/>
    <w:rsid w:val="00857C10"/>
    <w:rsid w:val="0086273F"/>
    <w:rsid w:val="00875924"/>
    <w:rsid w:val="00877EC7"/>
    <w:rsid w:val="00896E94"/>
    <w:rsid w:val="008B0705"/>
    <w:rsid w:val="008C6B3A"/>
    <w:rsid w:val="00902C9B"/>
    <w:rsid w:val="009135E0"/>
    <w:rsid w:val="00915CA4"/>
    <w:rsid w:val="00927D82"/>
    <w:rsid w:val="009332EC"/>
    <w:rsid w:val="00950820"/>
    <w:rsid w:val="00951D05"/>
    <w:rsid w:val="00960BF5"/>
    <w:rsid w:val="00961071"/>
    <w:rsid w:val="00963062"/>
    <w:rsid w:val="00964F9D"/>
    <w:rsid w:val="009735FA"/>
    <w:rsid w:val="00977ECA"/>
    <w:rsid w:val="00982180"/>
    <w:rsid w:val="009928B2"/>
    <w:rsid w:val="009A6067"/>
    <w:rsid w:val="009C61B2"/>
    <w:rsid w:val="009D1C13"/>
    <w:rsid w:val="009D2A4F"/>
    <w:rsid w:val="009D5928"/>
    <w:rsid w:val="009D6BB8"/>
    <w:rsid w:val="009E6F29"/>
    <w:rsid w:val="009F29E6"/>
    <w:rsid w:val="00A11401"/>
    <w:rsid w:val="00A20F73"/>
    <w:rsid w:val="00A2428A"/>
    <w:rsid w:val="00A26E88"/>
    <w:rsid w:val="00A33FD4"/>
    <w:rsid w:val="00A41969"/>
    <w:rsid w:val="00A47B89"/>
    <w:rsid w:val="00A60413"/>
    <w:rsid w:val="00A668C2"/>
    <w:rsid w:val="00A76CDF"/>
    <w:rsid w:val="00A806A9"/>
    <w:rsid w:val="00A830ED"/>
    <w:rsid w:val="00A83658"/>
    <w:rsid w:val="00A85489"/>
    <w:rsid w:val="00A86AAA"/>
    <w:rsid w:val="00A87B1F"/>
    <w:rsid w:val="00AA336E"/>
    <w:rsid w:val="00AA428E"/>
    <w:rsid w:val="00AA4D24"/>
    <w:rsid w:val="00AD1AA6"/>
    <w:rsid w:val="00AF1F2A"/>
    <w:rsid w:val="00AF30EF"/>
    <w:rsid w:val="00AF5490"/>
    <w:rsid w:val="00B2395A"/>
    <w:rsid w:val="00B24229"/>
    <w:rsid w:val="00B4573F"/>
    <w:rsid w:val="00B4633B"/>
    <w:rsid w:val="00B552B7"/>
    <w:rsid w:val="00B61773"/>
    <w:rsid w:val="00B777AF"/>
    <w:rsid w:val="00B81789"/>
    <w:rsid w:val="00B92DF1"/>
    <w:rsid w:val="00BE691C"/>
    <w:rsid w:val="00BE7311"/>
    <w:rsid w:val="00BF4150"/>
    <w:rsid w:val="00C01AA6"/>
    <w:rsid w:val="00C06257"/>
    <w:rsid w:val="00C079B0"/>
    <w:rsid w:val="00C10DF0"/>
    <w:rsid w:val="00C115CF"/>
    <w:rsid w:val="00C14250"/>
    <w:rsid w:val="00C2297C"/>
    <w:rsid w:val="00C274DC"/>
    <w:rsid w:val="00C61BAF"/>
    <w:rsid w:val="00C64BB4"/>
    <w:rsid w:val="00C73CF5"/>
    <w:rsid w:val="00C75BD4"/>
    <w:rsid w:val="00C96847"/>
    <w:rsid w:val="00C968D2"/>
    <w:rsid w:val="00CA53B9"/>
    <w:rsid w:val="00CA5C08"/>
    <w:rsid w:val="00CB0A2B"/>
    <w:rsid w:val="00CE0993"/>
    <w:rsid w:val="00CE2B83"/>
    <w:rsid w:val="00CF2624"/>
    <w:rsid w:val="00D23B92"/>
    <w:rsid w:val="00D36448"/>
    <w:rsid w:val="00D405DA"/>
    <w:rsid w:val="00D46999"/>
    <w:rsid w:val="00D574CA"/>
    <w:rsid w:val="00D71BC4"/>
    <w:rsid w:val="00D9638C"/>
    <w:rsid w:val="00DA45C3"/>
    <w:rsid w:val="00DB1DE9"/>
    <w:rsid w:val="00DB3D3C"/>
    <w:rsid w:val="00DB7073"/>
    <w:rsid w:val="00DD025A"/>
    <w:rsid w:val="00DD6ADB"/>
    <w:rsid w:val="00DD7D7A"/>
    <w:rsid w:val="00DE18E2"/>
    <w:rsid w:val="00E272AE"/>
    <w:rsid w:val="00E348E4"/>
    <w:rsid w:val="00E40A3F"/>
    <w:rsid w:val="00E51102"/>
    <w:rsid w:val="00E6303D"/>
    <w:rsid w:val="00E73BCB"/>
    <w:rsid w:val="00E7516C"/>
    <w:rsid w:val="00E92219"/>
    <w:rsid w:val="00E97C17"/>
    <w:rsid w:val="00EA3809"/>
    <w:rsid w:val="00ED0A0D"/>
    <w:rsid w:val="00F00C78"/>
    <w:rsid w:val="00F03DC0"/>
    <w:rsid w:val="00F16172"/>
    <w:rsid w:val="00F2705D"/>
    <w:rsid w:val="00F34128"/>
    <w:rsid w:val="00F422E1"/>
    <w:rsid w:val="00F67BBD"/>
    <w:rsid w:val="00F71F8E"/>
    <w:rsid w:val="00F74762"/>
    <w:rsid w:val="00F91367"/>
    <w:rsid w:val="00F91C6F"/>
    <w:rsid w:val="00F9353F"/>
    <w:rsid w:val="00F946EE"/>
    <w:rsid w:val="00F95073"/>
    <w:rsid w:val="00F95133"/>
    <w:rsid w:val="00FB0592"/>
    <w:rsid w:val="00FB139B"/>
    <w:rsid w:val="00FD765F"/>
    <w:rsid w:val="00FE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6554BCA8"/>
  <w15:docId w15:val="{0D0F1FE4-B50A-410C-9D3E-C78D9CE7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8C2"/>
    <w:rPr>
      <w:sz w:val="24"/>
      <w:szCs w:val="24"/>
    </w:rPr>
  </w:style>
  <w:style w:type="paragraph" w:styleId="Heading1">
    <w:name w:val="heading 1"/>
    <w:basedOn w:val="Normal"/>
    <w:next w:val="Normal"/>
    <w:link w:val="Heading1Char"/>
    <w:uiPriority w:val="99"/>
    <w:qFormat/>
    <w:rsid w:val="00A668C2"/>
    <w:pPr>
      <w:keepNext/>
      <w:outlineLvl w:val="0"/>
    </w:pPr>
    <w:rPr>
      <w:b/>
      <w:bCs/>
      <w:sz w:val="20"/>
      <w:szCs w:val="12"/>
    </w:rPr>
  </w:style>
  <w:style w:type="paragraph" w:styleId="Heading2">
    <w:name w:val="heading 2"/>
    <w:basedOn w:val="Normal"/>
    <w:next w:val="Normal"/>
    <w:link w:val="Heading2Char"/>
    <w:uiPriority w:val="99"/>
    <w:qFormat/>
    <w:rsid w:val="00A668C2"/>
    <w:pPr>
      <w:keepNext/>
      <w:outlineLvl w:val="1"/>
    </w:pPr>
    <w:rPr>
      <w:b/>
      <w:bCs/>
      <w:u w:val="single"/>
    </w:rPr>
  </w:style>
  <w:style w:type="paragraph" w:styleId="Heading3">
    <w:name w:val="heading 3"/>
    <w:basedOn w:val="Normal"/>
    <w:next w:val="Normal"/>
    <w:link w:val="Heading3Char"/>
    <w:uiPriority w:val="99"/>
    <w:qFormat/>
    <w:rsid w:val="00A668C2"/>
    <w:pPr>
      <w:keepNext/>
      <w:outlineLvl w:val="2"/>
    </w:pPr>
    <w:rPr>
      <w:b/>
      <w:bCs/>
    </w:rPr>
  </w:style>
  <w:style w:type="paragraph" w:styleId="Heading4">
    <w:name w:val="heading 4"/>
    <w:basedOn w:val="Normal"/>
    <w:next w:val="Normal"/>
    <w:link w:val="Heading4Char"/>
    <w:uiPriority w:val="99"/>
    <w:qFormat/>
    <w:rsid w:val="00A668C2"/>
    <w:pPr>
      <w:keepNext/>
      <w:jc w:val="center"/>
      <w:outlineLvl w:val="3"/>
    </w:pPr>
    <w:rPr>
      <w:b/>
      <w:bCs/>
    </w:rPr>
  </w:style>
  <w:style w:type="paragraph" w:styleId="Heading5">
    <w:name w:val="heading 5"/>
    <w:basedOn w:val="Normal"/>
    <w:next w:val="Normal"/>
    <w:link w:val="Heading5Char"/>
    <w:uiPriority w:val="99"/>
    <w:qFormat/>
    <w:rsid w:val="00A668C2"/>
    <w:pPr>
      <w:keepNext/>
      <w:outlineLvl w:val="4"/>
    </w:pPr>
    <w:rPr>
      <w:b/>
      <w:szCs w:val="20"/>
    </w:rPr>
  </w:style>
  <w:style w:type="paragraph" w:styleId="Heading6">
    <w:name w:val="heading 6"/>
    <w:basedOn w:val="Normal"/>
    <w:next w:val="Normal"/>
    <w:link w:val="Heading6Char"/>
    <w:uiPriority w:val="99"/>
    <w:qFormat/>
    <w:rsid w:val="00A668C2"/>
    <w:pPr>
      <w:keepNext/>
      <w:tabs>
        <w:tab w:val="num" w:pos="0"/>
      </w:tabs>
      <w:jc w:val="center"/>
      <w:outlineLvl w:val="5"/>
    </w:pPr>
    <w:rPr>
      <w:b/>
      <w:szCs w:val="20"/>
    </w:rPr>
  </w:style>
  <w:style w:type="paragraph" w:styleId="Heading7">
    <w:name w:val="heading 7"/>
    <w:basedOn w:val="Normal"/>
    <w:next w:val="Normal"/>
    <w:link w:val="Heading7Char"/>
    <w:uiPriority w:val="99"/>
    <w:qFormat/>
    <w:rsid w:val="00A668C2"/>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8C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168C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168C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168C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168C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168C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9168C0"/>
    <w:rPr>
      <w:rFonts w:asciiTheme="minorHAnsi" w:eastAsiaTheme="minorEastAsia" w:hAnsiTheme="minorHAnsi" w:cstheme="minorBidi"/>
      <w:sz w:val="24"/>
      <w:szCs w:val="24"/>
    </w:rPr>
  </w:style>
  <w:style w:type="paragraph" w:styleId="Header">
    <w:name w:val="header"/>
    <w:basedOn w:val="Normal"/>
    <w:link w:val="HeaderChar"/>
    <w:uiPriority w:val="99"/>
    <w:rsid w:val="00A668C2"/>
    <w:pPr>
      <w:tabs>
        <w:tab w:val="center" w:pos="4320"/>
        <w:tab w:val="right" w:pos="8640"/>
      </w:tabs>
    </w:pPr>
  </w:style>
  <w:style w:type="character" w:customStyle="1" w:styleId="HeaderChar">
    <w:name w:val="Header Char"/>
    <w:basedOn w:val="DefaultParagraphFont"/>
    <w:link w:val="Header"/>
    <w:uiPriority w:val="99"/>
    <w:semiHidden/>
    <w:rsid w:val="009168C0"/>
    <w:rPr>
      <w:sz w:val="24"/>
      <w:szCs w:val="24"/>
    </w:rPr>
  </w:style>
  <w:style w:type="paragraph" w:styleId="Footer">
    <w:name w:val="footer"/>
    <w:basedOn w:val="Normal"/>
    <w:link w:val="FooterChar"/>
    <w:uiPriority w:val="99"/>
    <w:rsid w:val="00A668C2"/>
    <w:pPr>
      <w:tabs>
        <w:tab w:val="center" w:pos="4320"/>
        <w:tab w:val="right" w:pos="8640"/>
      </w:tabs>
    </w:pPr>
  </w:style>
  <w:style w:type="character" w:customStyle="1" w:styleId="FooterChar">
    <w:name w:val="Footer Char"/>
    <w:basedOn w:val="DefaultParagraphFont"/>
    <w:link w:val="Footer"/>
    <w:uiPriority w:val="99"/>
    <w:locked/>
    <w:rsid w:val="00D574CA"/>
    <w:rPr>
      <w:sz w:val="24"/>
    </w:rPr>
  </w:style>
  <w:style w:type="paragraph" w:styleId="Title">
    <w:name w:val="Title"/>
    <w:basedOn w:val="Normal"/>
    <w:link w:val="TitleChar"/>
    <w:uiPriority w:val="99"/>
    <w:qFormat/>
    <w:rsid w:val="00A668C2"/>
    <w:pPr>
      <w:jc w:val="center"/>
    </w:pPr>
    <w:rPr>
      <w:b/>
      <w:bCs/>
      <w:szCs w:val="20"/>
    </w:rPr>
  </w:style>
  <w:style w:type="character" w:customStyle="1" w:styleId="TitleChar">
    <w:name w:val="Title Char"/>
    <w:basedOn w:val="DefaultParagraphFont"/>
    <w:link w:val="Title"/>
    <w:uiPriority w:val="10"/>
    <w:rsid w:val="009168C0"/>
    <w:rPr>
      <w:rFonts w:asciiTheme="majorHAnsi" w:eastAsiaTheme="majorEastAsia" w:hAnsiTheme="majorHAnsi" w:cstheme="majorBidi"/>
      <w:b/>
      <w:bCs/>
      <w:kern w:val="28"/>
      <w:sz w:val="32"/>
      <w:szCs w:val="32"/>
    </w:rPr>
  </w:style>
  <w:style w:type="character" w:customStyle="1" w:styleId="EmailStyle20">
    <w:name w:val="EmailStyle20"/>
    <w:uiPriority w:val="99"/>
    <w:rsid w:val="00A668C2"/>
    <w:rPr>
      <w:rFonts w:ascii="Arial" w:hAnsi="Arial"/>
      <w:color w:val="000000"/>
      <w:sz w:val="20"/>
    </w:rPr>
  </w:style>
  <w:style w:type="paragraph" w:styleId="NormalWeb">
    <w:name w:val="Normal (Web)"/>
    <w:basedOn w:val="Normal"/>
    <w:uiPriority w:val="99"/>
    <w:rsid w:val="00A668C2"/>
    <w:pPr>
      <w:spacing w:before="100" w:beforeAutospacing="1" w:after="100" w:afterAutospacing="1"/>
    </w:pPr>
    <w:rPr>
      <w:rFonts w:ascii="Arial Unicode MS" w:hAnsi="Arial Unicode MS" w:cs="Arial Unicode MS"/>
    </w:rPr>
  </w:style>
  <w:style w:type="character" w:styleId="Strong">
    <w:name w:val="Strong"/>
    <w:basedOn w:val="DefaultParagraphFont"/>
    <w:uiPriority w:val="99"/>
    <w:qFormat/>
    <w:rsid w:val="00A668C2"/>
    <w:rPr>
      <w:rFonts w:cs="Times New Roman"/>
      <w:b/>
    </w:rPr>
  </w:style>
  <w:style w:type="character" w:styleId="Hyperlink">
    <w:name w:val="Hyperlink"/>
    <w:basedOn w:val="DefaultParagraphFont"/>
    <w:uiPriority w:val="99"/>
    <w:rsid w:val="004E0B99"/>
    <w:rPr>
      <w:rFonts w:cs="Times New Roman"/>
      <w:color w:val="0000FF"/>
      <w:u w:val="single"/>
    </w:rPr>
  </w:style>
  <w:style w:type="character" w:styleId="FollowedHyperlink">
    <w:name w:val="FollowedHyperlink"/>
    <w:basedOn w:val="DefaultParagraphFont"/>
    <w:uiPriority w:val="99"/>
    <w:rsid w:val="00AF1F2A"/>
    <w:rPr>
      <w:rFonts w:cs="Times New Roman"/>
      <w:color w:val="800080"/>
      <w:u w:val="single"/>
    </w:rPr>
  </w:style>
  <w:style w:type="paragraph" w:styleId="BalloonText">
    <w:name w:val="Balloon Text"/>
    <w:basedOn w:val="Normal"/>
    <w:link w:val="BalloonTextChar"/>
    <w:uiPriority w:val="99"/>
    <w:semiHidden/>
    <w:rsid w:val="00A87B1F"/>
    <w:rPr>
      <w:rFonts w:ascii="Tahoma" w:hAnsi="Tahoma" w:cs="Tahoma"/>
      <w:sz w:val="16"/>
      <w:szCs w:val="16"/>
    </w:rPr>
  </w:style>
  <w:style w:type="character" w:customStyle="1" w:styleId="BalloonTextChar">
    <w:name w:val="Balloon Text Char"/>
    <w:basedOn w:val="DefaultParagraphFont"/>
    <w:link w:val="BalloonText"/>
    <w:uiPriority w:val="99"/>
    <w:semiHidden/>
    <w:rsid w:val="009168C0"/>
    <w:rPr>
      <w:sz w:val="0"/>
      <w:szCs w:val="0"/>
    </w:rPr>
  </w:style>
  <w:style w:type="table" w:styleId="TableTheme">
    <w:name w:val="Table Theme"/>
    <w:basedOn w:val="TableNormal"/>
    <w:uiPriority w:val="99"/>
    <w:rsid w:val="00D364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uiPriority w:val="99"/>
    <w:rsid w:val="00D574CA"/>
    <w:pPr>
      <w:widowControl w:val="0"/>
      <w:spacing w:after="200" w:line="276" w:lineRule="auto"/>
    </w:pPr>
    <w:rPr>
      <w:rFonts w:ascii="Arial Narrow" w:hAnsi="Arial Narrow"/>
      <w:noProof/>
      <w:color w:val="11406B"/>
      <w:sz w:val="48"/>
      <w:szCs w:val="48"/>
    </w:rPr>
  </w:style>
  <w:style w:type="table" w:styleId="LightList-Accent1">
    <w:name w:val="Light List Accent 1"/>
    <w:basedOn w:val="TableNormal"/>
    <w:uiPriority w:val="99"/>
    <w:rsid w:val="005423D4"/>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99"/>
    <w:rsid w:val="00B777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3F3D44"/>
    <w:rPr>
      <w:rFonts w:cs="Times New Roman"/>
      <w:sz w:val="16"/>
      <w:szCs w:val="16"/>
    </w:rPr>
  </w:style>
  <w:style w:type="paragraph" w:styleId="CommentText">
    <w:name w:val="annotation text"/>
    <w:basedOn w:val="Normal"/>
    <w:link w:val="CommentTextChar"/>
    <w:uiPriority w:val="99"/>
    <w:rsid w:val="003F3D44"/>
    <w:rPr>
      <w:sz w:val="20"/>
      <w:szCs w:val="20"/>
    </w:rPr>
  </w:style>
  <w:style w:type="character" w:customStyle="1" w:styleId="CommentTextChar">
    <w:name w:val="Comment Text Char"/>
    <w:basedOn w:val="DefaultParagraphFont"/>
    <w:link w:val="CommentText"/>
    <w:uiPriority w:val="99"/>
    <w:locked/>
    <w:rsid w:val="003F3D44"/>
    <w:rPr>
      <w:rFonts w:cs="Times New Roman"/>
    </w:rPr>
  </w:style>
  <w:style w:type="paragraph" w:styleId="CommentSubject">
    <w:name w:val="annotation subject"/>
    <w:basedOn w:val="CommentText"/>
    <w:next w:val="CommentText"/>
    <w:link w:val="CommentSubjectChar"/>
    <w:uiPriority w:val="99"/>
    <w:rsid w:val="003F3D44"/>
    <w:rPr>
      <w:b/>
      <w:bCs/>
    </w:rPr>
  </w:style>
  <w:style w:type="character" w:customStyle="1" w:styleId="CommentSubjectChar">
    <w:name w:val="Comment Subject Char"/>
    <w:basedOn w:val="CommentTextChar"/>
    <w:link w:val="CommentSubject"/>
    <w:uiPriority w:val="99"/>
    <w:locked/>
    <w:rsid w:val="003F3D44"/>
    <w:rPr>
      <w:rFonts w:cs="Times New Roman"/>
      <w:b/>
      <w:bCs/>
    </w:rPr>
  </w:style>
  <w:style w:type="paragraph" w:styleId="ListParagraph">
    <w:name w:val="List Paragraph"/>
    <w:basedOn w:val="Normal"/>
    <w:uiPriority w:val="99"/>
    <w:qFormat/>
    <w:rsid w:val="00D46999"/>
    <w:pPr>
      <w:ind w:left="720"/>
      <w:contextualSpacing/>
    </w:pPr>
  </w:style>
  <w:style w:type="character" w:customStyle="1" w:styleId="apple-converted-space">
    <w:name w:val="apple-converted-space"/>
    <w:basedOn w:val="DefaultParagraphFont"/>
    <w:uiPriority w:val="99"/>
    <w:rsid w:val="00701492"/>
    <w:rPr>
      <w:rFonts w:cs="Times New Roman"/>
    </w:rPr>
  </w:style>
  <w:style w:type="character" w:customStyle="1" w:styleId="highlight">
    <w:name w:val="highlight"/>
    <w:basedOn w:val="DefaultParagraphFont"/>
    <w:uiPriority w:val="99"/>
    <w:rsid w:val="001E1AA0"/>
    <w:rPr>
      <w:rFonts w:cs="Times New Roman"/>
    </w:rPr>
  </w:style>
  <w:style w:type="character" w:customStyle="1" w:styleId="cit">
    <w:name w:val="cit"/>
    <w:basedOn w:val="DefaultParagraphFont"/>
    <w:rsid w:val="00524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467187">
      <w:marLeft w:val="0"/>
      <w:marRight w:val="0"/>
      <w:marTop w:val="0"/>
      <w:marBottom w:val="0"/>
      <w:divBdr>
        <w:top w:val="none" w:sz="0" w:space="0" w:color="auto"/>
        <w:left w:val="none" w:sz="0" w:space="0" w:color="auto"/>
        <w:bottom w:val="none" w:sz="0" w:space="0" w:color="auto"/>
        <w:right w:val="none" w:sz="0" w:space="0" w:color="auto"/>
      </w:divBdr>
    </w:div>
    <w:div w:id="1288467188">
      <w:marLeft w:val="0"/>
      <w:marRight w:val="0"/>
      <w:marTop w:val="0"/>
      <w:marBottom w:val="0"/>
      <w:divBdr>
        <w:top w:val="none" w:sz="0" w:space="0" w:color="auto"/>
        <w:left w:val="none" w:sz="0" w:space="0" w:color="auto"/>
        <w:bottom w:val="none" w:sz="0" w:space="0" w:color="auto"/>
        <w:right w:val="none" w:sz="0" w:space="0" w:color="auto"/>
      </w:divBdr>
    </w:div>
    <w:div w:id="1288467190">
      <w:marLeft w:val="0"/>
      <w:marRight w:val="0"/>
      <w:marTop w:val="0"/>
      <w:marBottom w:val="0"/>
      <w:divBdr>
        <w:top w:val="none" w:sz="0" w:space="0" w:color="auto"/>
        <w:left w:val="none" w:sz="0" w:space="0" w:color="auto"/>
        <w:bottom w:val="none" w:sz="0" w:space="0" w:color="auto"/>
        <w:right w:val="none" w:sz="0" w:space="0" w:color="auto"/>
      </w:divBdr>
      <w:divsChild>
        <w:div w:id="1288467189">
          <w:marLeft w:val="0"/>
          <w:marRight w:val="0"/>
          <w:marTop w:val="0"/>
          <w:marBottom w:val="0"/>
          <w:divBdr>
            <w:top w:val="none" w:sz="0" w:space="0" w:color="auto"/>
            <w:left w:val="none" w:sz="0" w:space="0" w:color="auto"/>
            <w:bottom w:val="none" w:sz="0" w:space="0" w:color="auto"/>
            <w:right w:val="none" w:sz="0" w:space="0" w:color="auto"/>
          </w:divBdr>
        </w:div>
        <w:div w:id="1288467192">
          <w:marLeft w:val="0"/>
          <w:marRight w:val="0"/>
          <w:marTop w:val="0"/>
          <w:marBottom w:val="0"/>
          <w:divBdr>
            <w:top w:val="none" w:sz="0" w:space="0" w:color="auto"/>
            <w:left w:val="none" w:sz="0" w:space="0" w:color="auto"/>
            <w:bottom w:val="none" w:sz="0" w:space="0" w:color="auto"/>
            <w:right w:val="none" w:sz="0" w:space="0" w:color="auto"/>
          </w:divBdr>
        </w:div>
      </w:divsChild>
    </w:div>
    <w:div w:id="12884671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cms.gov"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bi.nlm.nih.gov/pmc/articles/PMC40956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3961B6-77FF-4049-B9FE-5D6C082DC41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F8E41C4-5F1B-4AC2-87B4-11D135691783}">
  <ds:schemaRefs>
    <ds:schemaRef ds:uri="http://schemas.microsoft.com/sharepoint/v3/contenttype/forms"/>
  </ds:schemaRefs>
</ds:datastoreItem>
</file>

<file path=customXml/itemProps3.xml><?xml version="1.0" encoding="utf-8"?>
<ds:datastoreItem xmlns:ds="http://schemas.openxmlformats.org/officeDocument/2006/customXml" ds:itemID="{11AFD909-1616-4F97-A03C-4B2E868D2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2242</Words>
  <Characters>14080</Characters>
  <Application>Microsoft Office Word</Application>
  <DocSecurity>0</DocSecurity>
  <Lines>287</Lines>
  <Paragraphs>144</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Emily C. Mahan</cp:lastModifiedBy>
  <cp:revision>2</cp:revision>
  <cp:lastPrinted>2016-11-14T19:07:00Z</cp:lastPrinted>
  <dcterms:created xsi:type="dcterms:W3CDTF">2019-05-22T21:14:00Z</dcterms:created>
  <dcterms:modified xsi:type="dcterms:W3CDTF">2019-05-22T21:14:00Z</dcterms:modified>
</cp:coreProperties>
</file>