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37997" w14:textId="2522623D" w:rsidR="00171801" w:rsidRPr="00CA34AD" w:rsidRDefault="00A06641" w:rsidP="00D574CA">
      <w:pPr>
        <w:pStyle w:val="PolicyMainHead"/>
        <w:tabs>
          <w:tab w:val="left" w:pos="360"/>
        </w:tabs>
        <w:spacing w:after="0" w:line="240" w:lineRule="auto"/>
        <w:rPr>
          <w:rFonts w:ascii="Times New Roman" w:hAnsi="Times New Roman"/>
          <w:color w:val="00548C"/>
          <w:sz w:val="28"/>
          <w:szCs w:val="28"/>
        </w:rPr>
      </w:pPr>
      <w:bookmarkStart w:id="0" w:name="_GoBack"/>
      <w:bookmarkEnd w:id="0"/>
      <w:r>
        <w:rPr>
          <w:rFonts w:ascii="Times New Roman" w:hAnsi="Times New Roman"/>
          <w:color w:val="00548C"/>
          <w:sz w:val="28"/>
          <w:szCs w:val="28"/>
        </w:rPr>
        <w:t xml:space="preserve">Clinical </w:t>
      </w:r>
      <w:r w:rsidR="00171801" w:rsidRPr="00CA34AD">
        <w:rPr>
          <w:rFonts w:ascii="Times New Roman" w:hAnsi="Times New Roman"/>
          <w:color w:val="00548C"/>
          <w:sz w:val="28"/>
          <w:szCs w:val="28"/>
        </w:rPr>
        <w:t xml:space="preserve">Policy: </w:t>
      </w:r>
      <w:r w:rsidR="00F351D2" w:rsidRPr="00CA34AD">
        <w:rPr>
          <w:rFonts w:ascii="Times New Roman" w:hAnsi="Times New Roman"/>
          <w:color w:val="00548C"/>
          <w:sz w:val="28"/>
          <w:szCs w:val="28"/>
        </w:rPr>
        <w:t>Percutaneous Left Atrial Appendage Closure Device for Stroke Prevention</w:t>
      </w:r>
    </w:p>
    <w:p w14:paraId="7A2C588A" w14:textId="77777777" w:rsidR="00171801" w:rsidRDefault="00171801" w:rsidP="00D574CA">
      <w:pPr>
        <w:pStyle w:val="PolicyMainHead"/>
        <w:tabs>
          <w:tab w:val="left" w:pos="360"/>
        </w:tabs>
        <w:spacing w:after="0" w:line="240" w:lineRule="auto"/>
        <w:rPr>
          <w:color w:val="00548C"/>
          <w:sz w:val="24"/>
        </w:rPr>
        <w:sectPr w:rsidR="00171801"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5CEA8B4B" w14:textId="5F3DC62C" w:rsidR="00171801" w:rsidRPr="003D7BE7" w:rsidRDefault="00171801" w:rsidP="00A06641">
      <w:pPr>
        <w:pStyle w:val="PolicyMainHead"/>
        <w:spacing w:after="0" w:line="240" w:lineRule="auto"/>
        <w:rPr>
          <w:rFonts w:ascii="Times New Roman" w:hAnsi="Times New Roman"/>
          <w:color w:val="00548C"/>
          <w:sz w:val="24"/>
          <w:szCs w:val="24"/>
        </w:rPr>
        <w:sectPr w:rsidR="00171801"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w:t>
      </w:r>
      <w:r w:rsidR="00B90C40">
        <w:rPr>
          <w:rFonts w:ascii="Times New Roman" w:hAnsi="Times New Roman"/>
          <w:color w:val="00548C"/>
          <w:sz w:val="24"/>
          <w:szCs w:val="24"/>
        </w:rPr>
        <w:t>147</w:t>
      </w:r>
      <w:r w:rsidR="00A06641">
        <w:rPr>
          <w:rFonts w:ascii="Times New Roman" w:hAnsi="Times New Roman"/>
          <w:color w:val="00548C"/>
          <w:sz w:val="24"/>
          <w:szCs w:val="24"/>
        </w:rPr>
        <w:tab/>
      </w:r>
      <w:r w:rsidR="00A06641">
        <w:rPr>
          <w:rFonts w:ascii="Times New Roman" w:hAnsi="Times New Roman"/>
          <w:color w:val="00548C"/>
          <w:sz w:val="24"/>
          <w:szCs w:val="24"/>
        </w:rPr>
        <w:tab/>
      </w:r>
      <w:r w:rsidR="00A06641">
        <w:rPr>
          <w:rFonts w:ascii="Times New Roman" w:hAnsi="Times New Roman"/>
          <w:color w:val="00548C"/>
          <w:sz w:val="24"/>
          <w:szCs w:val="24"/>
        </w:rPr>
        <w:tab/>
      </w:r>
      <w:r w:rsidR="00A06641">
        <w:rPr>
          <w:rFonts w:ascii="Times New Roman" w:hAnsi="Times New Roman"/>
          <w:color w:val="00548C"/>
          <w:sz w:val="24"/>
          <w:szCs w:val="24"/>
        </w:rPr>
        <w:tab/>
        <w:t xml:space="preserve">    </w:t>
      </w:r>
      <w:r w:rsidRPr="003D7BE7">
        <w:rPr>
          <w:rFonts w:ascii="Times New Roman" w:hAnsi="Times New Roman"/>
          <w:color w:val="00548C"/>
          <w:sz w:val="24"/>
          <w:szCs w:val="24"/>
        </w:rPr>
        <w:tab/>
      </w:r>
      <w:r w:rsidR="00A06641">
        <w:rPr>
          <w:rFonts w:ascii="Times New Roman" w:hAnsi="Times New Roman"/>
          <w:color w:val="00548C"/>
          <w:sz w:val="24"/>
          <w:szCs w:val="24"/>
        </w:rPr>
        <w:t xml:space="preserve">     </w:t>
      </w:r>
      <w:hyperlink w:anchor="Coding_Implications" w:history="1">
        <w:r w:rsidRPr="00875924">
          <w:rPr>
            <w:rStyle w:val="Hyperlink"/>
            <w:rFonts w:ascii="Times New Roman" w:hAnsi="Times New Roman"/>
            <w:sz w:val="24"/>
            <w:szCs w:val="24"/>
          </w:rPr>
          <w:t>Coding Implications</w:t>
        </w:r>
      </w:hyperlink>
      <w:r w:rsidRPr="003D7BE7">
        <w:rPr>
          <w:rFonts w:ascii="Times New Roman" w:hAnsi="Times New Roman"/>
          <w:color w:val="00548C"/>
          <w:sz w:val="24"/>
          <w:szCs w:val="24"/>
        </w:rPr>
        <w:t xml:space="preserve"> </w:t>
      </w:r>
    </w:p>
    <w:p w14:paraId="2CEE91E4" w14:textId="38E0A717" w:rsidR="00171801" w:rsidRDefault="00171801"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C5330C">
        <w:rPr>
          <w:rFonts w:ascii="Times New Roman" w:hAnsi="Times New Roman"/>
          <w:color w:val="00548C"/>
          <w:sz w:val="24"/>
          <w:szCs w:val="24"/>
        </w:rPr>
        <w:t>0</w:t>
      </w:r>
      <w:r w:rsidR="00850964">
        <w:rPr>
          <w:rFonts w:ascii="Times New Roman" w:hAnsi="Times New Roman"/>
          <w:color w:val="00548C"/>
          <w:sz w:val="24"/>
          <w:szCs w:val="24"/>
        </w:rPr>
        <w:t>5</w:t>
      </w:r>
      <w:r w:rsidR="00C5330C">
        <w:rPr>
          <w:rFonts w:ascii="Times New Roman" w:hAnsi="Times New Roman"/>
          <w:color w:val="00548C"/>
          <w:sz w:val="24"/>
          <w:szCs w:val="24"/>
        </w:rPr>
        <w:t>/19</w:t>
      </w:r>
    </w:p>
    <w:p w14:paraId="575FA2E8" w14:textId="77777777" w:rsidR="00171801" w:rsidRDefault="00EA190F" w:rsidP="00875924">
      <w:pPr>
        <w:pStyle w:val="PolicyMainHead"/>
        <w:tabs>
          <w:tab w:val="left" w:pos="360"/>
        </w:tabs>
        <w:spacing w:after="0" w:line="240" w:lineRule="auto"/>
        <w:jc w:val="right"/>
        <w:rPr>
          <w:rStyle w:val="Strong"/>
          <w:rFonts w:ascii="Times New Roman" w:hAnsi="Times New Roman"/>
          <w:b w:val="0"/>
          <w:u w:val="single"/>
        </w:rPr>
        <w:sectPr w:rsidR="00171801" w:rsidSect="00875924">
          <w:type w:val="continuous"/>
          <w:pgSz w:w="12240" w:h="15840" w:code="1"/>
          <w:pgMar w:top="1440" w:right="1170" w:bottom="1440" w:left="1440" w:header="576" w:footer="288" w:gutter="0"/>
          <w:cols w:num="2" w:space="720"/>
          <w:titlePg/>
          <w:docGrid w:linePitch="360"/>
        </w:sectPr>
      </w:pPr>
      <w:hyperlink w:anchor="Revision_Log" w:history="1">
        <w:r w:rsidR="00171801" w:rsidRPr="003D7BE7">
          <w:rPr>
            <w:rStyle w:val="Hyperlink"/>
            <w:rFonts w:ascii="Times New Roman" w:hAnsi="Times New Roman"/>
            <w:sz w:val="24"/>
            <w:szCs w:val="24"/>
          </w:rPr>
          <w:t>Revision Log</w:t>
        </w:r>
      </w:hyperlink>
      <w:r w:rsidR="00171801">
        <w:rPr>
          <w:rFonts w:ascii="Times New Roman" w:hAnsi="Times New Roman"/>
          <w:color w:val="00548C"/>
          <w:sz w:val="24"/>
          <w:szCs w:val="24"/>
        </w:rPr>
        <w:t xml:space="preserve"> </w:t>
      </w:r>
    </w:p>
    <w:p w14:paraId="0AF97846" w14:textId="77777777" w:rsidR="00171801" w:rsidRDefault="00171801"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1F87CEAD" w14:textId="77777777" w:rsidR="00171801" w:rsidRPr="005D7B81" w:rsidRDefault="00171801"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381093FF" w14:textId="77777777" w:rsidR="00171801" w:rsidRDefault="00171801" w:rsidP="00875924">
      <w:pPr>
        <w:pStyle w:val="NormalWeb"/>
        <w:spacing w:before="0" w:beforeAutospacing="0" w:after="0" w:afterAutospacing="0"/>
        <w:jc w:val="center"/>
        <w:rPr>
          <w:rStyle w:val="Strong"/>
          <w:rFonts w:ascii="Times New Roman" w:hAnsi="Times New Roman"/>
          <w:b w:val="0"/>
          <w:u w:val="single"/>
        </w:rPr>
      </w:pPr>
    </w:p>
    <w:p w14:paraId="6F0A6C9C" w14:textId="77777777" w:rsidR="00171801" w:rsidRPr="00B777AF" w:rsidRDefault="00171801">
      <w:pPr>
        <w:pStyle w:val="Heading2"/>
        <w:rPr>
          <w:u w:val="none"/>
        </w:rPr>
      </w:pPr>
      <w:r w:rsidRPr="00B777AF">
        <w:rPr>
          <w:u w:val="none"/>
        </w:rPr>
        <w:t xml:space="preserve">Description </w:t>
      </w:r>
    </w:p>
    <w:p w14:paraId="7DF587BE" w14:textId="2C94FEAF" w:rsidR="005B6328" w:rsidRDefault="00331C24" w:rsidP="003873EE">
      <w:r w:rsidRPr="00331C24">
        <w:t xml:space="preserve">Atrial fibrillation (AF) is the most commonly encountered sustained tachyarrhythmia </w:t>
      </w:r>
      <w:r>
        <w:t xml:space="preserve">and </w:t>
      </w:r>
      <w:r w:rsidRPr="00331C24">
        <w:t>is associated with a 5-fold increased risk of stroke</w:t>
      </w:r>
      <w:r w:rsidR="00A85B08">
        <w:t>,</w:t>
      </w:r>
      <w:r w:rsidRPr="00331C24">
        <w:t xml:space="preserve"> and stroke risk increases with age.</w:t>
      </w:r>
      <w:r w:rsidRPr="00331C24">
        <w:rPr>
          <w:vertAlign w:val="superscript"/>
        </w:rPr>
        <w:t>1</w:t>
      </w:r>
      <w:r w:rsidRPr="00331C24">
        <w:t xml:space="preserve"> Among patients with non</w:t>
      </w:r>
      <w:r w:rsidR="00B90C40">
        <w:t>-</w:t>
      </w:r>
      <w:r w:rsidRPr="00331C24">
        <w:t>valvular AF, the vast majority of thrombus material is located within or involves the left atrial appendage (LAA)</w:t>
      </w:r>
      <w:r>
        <w:t xml:space="preserve">.  </w:t>
      </w:r>
      <w:r w:rsidRPr="00331C24">
        <w:t>Most patients with atrial fibrillation should receive anticoagulant therapy to reduce the risk of systemic embolization</w:t>
      </w:r>
      <w:r w:rsidR="00A85B08">
        <w:t>. H</w:t>
      </w:r>
      <w:r w:rsidR="005B6328">
        <w:t xml:space="preserve">owever, </w:t>
      </w:r>
      <w:r w:rsidRPr="00331C24">
        <w:t>not all individuals are candidates for this therapy</w:t>
      </w:r>
      <w:r>
        <w:t xml:space="preserve">.  </w:t>
      </w:r>
      <w:r w:rsidR="003873EE">
        <w:t xml:space="preserve">LAA occlusion devices have </w:t>
      </w:r>
      <w:r w:rsidR="005B6328">
        <w:t xml:space="preserve">been investigated as an </w:t>
      </w:r>
      <w:r w:rsidR="005B6328" w:rsidRPr="005B6328">
        <w:t>alternative to pharmacological therapy to reduce the risk of stroke</w:t>
      </w:r>
      <w:r w:rsidR="005355F3">
        <w:t xml:space="preserve"> </w:t>
      </w:r>
      <w:r w:rsidR="00B477CD">
        <w:t>in</w:t>
      </w:r>
      <w:r w:rsidR="005355F3">
        <w:t xml:space="preserve"> these indiv</w:t>
      </w:r>
      <w:r w:rsidR="00B477CD">
        <w:t>i</w:t>
      </w:r>
      <w:r w:rsidR="005355F3">
        <w:t>dual</w:t>
      </w:r>
      <w:r w:rsidR="00113134">
        <w:t>s</w:t>
      </w:r>
      <w:r w:rsidR="005B6328">
        <w:t>.</w:t>
      </w:r>
    </w:p>
    <w:p w14:paraId="4F657397" w14:textId="77777777" w:rsidR="005B6328" w:rsidRDefault="005B6328" w:rsidP="003873EE"/>
    <w:p w14:paraId="02105388" w14:textId="77777777" w:rsidR="00171801" w:rsidRPr="00B777AF" w:rsidRDefault="00171801">
      <w:pPr>
        <w:pStyle w:val="Heading2"/>
        <w:rPr>
          <w:u w:val="none"/>
        </w:rPr>
      </w:pPr>
      <w:r w:rsidRPr="00B777AF">
        <w:rPr>
          <w:u w:val="none"/>
        </w:rPr>
        <w:t>Policy/Criteria</w:t>
      </w:r>
    </w:p>
    <w:p w14:paraId="47613C8E" w14:textId="77777777" w:rsidR="00836CA0" w:rsidRDefault="00171801" w:rsidP="00A4034A">
      <w:pPr>
        <w:numPr>
          <w:ilvl w:val="0"/>
          <w:numId w:val="11"/>
        </w:numPr>
        <w:tabs>
          <w:tab w:val="left" w:pos="360"/>
        </w:tabs>
        <w:ind w:left="360"/>
      </w:pPr>
      <w:r w:rsidRPr="00912FCE">
        <w:rPr>
          <w:bCs/>
          <w:color w:val="000000"/>
        </w:rPr>
        <w:t>It is the policy of health plans affiliated with Centene Corporation</w:t>
      </w:r>
      <w:r w:rsidRPr="00912FCE">
        <w:rPr>
          <w:bCs/>
          <w:color w:val="000000"/>
          <w:vertAlign w:val="superscript"/>
        </w:rPr>
        <w:t>®</w:t>
      </w:r>
      <w:r w:rsidRPr="00912FCE">
        <w:rPr>
          <w:bCs/>
          <w:color w:val="000000"/>
        </w:rPr>
        <w:t xml:space="preserve"> </w:t>
      </w:r>
      <w:r>
        <w:t xml:space="preserve">that </w:t>
      </w:r>
      <w:r w:rsidR="00084F07">
        <w:t xml:space="preserve">the </w:t>
      </w:r>
      <w:r w:rsidR="00084F07" w:rsidRPr="00084F07">
        <w:t>W</w:t>
      </w:r>
      <w:r w:rsidR="00A4034A">
        <w:t>ATCHMAN</w:t>
      </w:r>
      <w:r w:rsidR="00E70E04">
        <w:t>™</w:t>
      </w:r>
      <w:r w:rsidR="00084F07" w:rsidRPr="00084F07">
        <w:t xml:space="preserve"> </w:t>
      </w:r>
      <w:r w:rsidR="00A4034A" w:rsidRPr="00A4034A">
        <w:t xml:space="preserve">LAA Closure Technology </w:t>
      </w:r>
      <w:r w:rsidR="00912FCE" w:rsidRPr="00912FCE">
        <w:t>for occlusion of the LAA</w:t>
      </w:r>
      <w:r w:rsidR="00912FCE">
        <w:t xml:space="preserve"> </w:t>
      </w:r>
      <w:r>
        <w:t xml:space="preserve">is </w:t>
      </w:r>
      <w:r w:rsidRPr="00912FCE">
        <w:rPr>
          <w:b/>
        </w:rPr>
        <w:t>medically necessary</w:t>
      </w:r>
      <w:r>
        <w:t xml:space="preserve"> </w:t>
      </w:r>
      <w:r w:rsidR="006D3954" w:rsidRPr="006D3954">
        <w:t>to reduce the risk of stroke in adult</w:t>
      </w:r>
      <w:r w:rsidR="00F41C82">
        <w:t>s</w:t>
      </w:r>
      <w:r w:rsidR="006D3954" w:rsidRPr="006D3954">
        <w:t xml:space="preserve"> with non</w:t>
      </w:r>
      <w:r w:rsidR="00B90C40">
        <w:t>-</w:t>
      </w:r>
      <w:r w:rsidR="006D3954" w:rsidRPr="006D3954">
        <w:t xml:space="preserve">valvular </w:t>
      </w:r>
      <w:r w:rsidR="00A85B08">
        <w:t>AF</w:t>
      </w:r>
      <w:r w:rsidR="006D3954" w:rsidRPr="006D3954">
        <w:t xml:space="preserve"> </w:t>
      </w:r>
      <w:r w:rsidR="000C0488" w:rsidRPr="006D3954">
        <w:t>when</w:t>
      </w:r>
      <w:r w:rsidR="000C0488">
        <w:t xml:space="preserve"> both</w:t>
      </w:r>
      <w:r w:rsidR="009421A9">
        <w:t xml:space="preserve"> of the </w:t>
      </w:r>
      <w:r w:rsidR="006D3954" w:rsidRPr="006D3954">
        <w:t xml:space="preserve">following criteria </w:t>
      </w:r>
      <w:r w:rsidR="009421A9">
        <w:t>are</w:t>
      </w:r>
      <w:r w:rsidR="006D3954" w:rsidRPr="006D3954">
        <w:t xml:space="preserve"> met: </w:t>
      </w:r>
    </w:p>
    <w:p w14:paraId="785CFD9C" w14:textId="6968683C" w:rsidR="00171801" w:rsidRPr="00EF2004" w:rsidRDefault="006D3954" w:rsidP="00EF2004">
      <w:pPr>
        <w:numPr>
          <w:ilvl w:val="1"/>
          <w:numId w:val="11"/>
        </w:numPr>
        <w:tabs>
          <w:tab w:val="left" w:pos="720"/>
          <w:tab w:val="left" w:pos="900"/>
        </w:tabs>
        <w:ind w:left="720"/>
      </w:pPr>
      <w:r w:rsidRPr="00EF2004">
        <w:t xml:space="preserve">There is an increased risk for stroke and systemic embolism based on </w:t>
      </w:r>
      <w:r w:rsidR="009D3526" w:rsidRPr="00EF2004">
        <w:t xml:space="preserve">CHADS2 or </w:t>
      </w:r>
      <w:r w:rsidRPr="00EF2004">
        <w:t xml:space="preserve">CHA2DS2-VASc scores and </w:t>
      </w:r>
      <w:r w:rsidR="006A2C3D">
        <w:t xml:space="preserve">long-term </w:t>
      </w:r>
      <w:r w:rsidRPr="00EF2004">
        <w:t>anticoagulation therapy</w:t>
      </w:r>
      <w:r w:rsidR="009D3526" w:rsidRPr="00EF2004">
        <w:t xml:space="preserve"> is recommended</w:t>
      </w:r>
      <w:r w:rsidR="00827A22" w:rsidRPr="00EF2004">
        <w:t>;</w:t>
      </w:r>
      <w:r w:rsidRPr="00EF2004">
        <w:t xml:space="preserve"> </w:t>
      </w:r>
      <w:r w:rsidR="00B90C40">
        <w:t>and</w:t>
      </w:r>
    </w:p>
    <w:p w14:paraId="227A3B57" w14:textId="5A5D10F9" w:rsidR="006D3954" w:rsidRDefault="00BB00F8" w:rsidP="00B84EF5">
      <w:pPr>
        <w:numPr>
          <w:ilvl w:val="1"/>
          <w:numId w:val="11"/>
        </w:numPr>
        <w:tabs>
          <w:tab w:val="left" w:pos="720"/>
          <w:tab w:val="left" w:pos="900"/>
        </w:tabs>
        <w:ind w:left="720"/>
      </w:pPr>
      <w:r>
        <w:t>F</w:t>
      </w:r>
      <w:r w:rsidR="006D3954" w:rsidRPr="00EF2004">
        <w:t>ailure</w:t>
      </w:r>
      <w:r w:rsidR="006D3954" w:rsidRPr="00827A22">
        <w:t xml:space="preserve"> </w:t>
      </w:r>
      <w:r>
        <w:t xml:space="preserve">of </w:t>
      </w:r>
      <w:r w:rsidR="006D3954" w:rsidRPr="00827A22">
        <w:t xml:space="preserve">and/or contraindications to </w:t>
      </w:r>
      <w:r w:rsidR="00840221">
        <w:t>long</w:t>
      </w:r>
      <w:r w:rsidR="00DF5419">
        <w:t>-</w:t>
      </w:r>
      <w:r w:rsidR="00840221">
        <w:t xml:space="preserve">term </w:t>
      </w:r>
      <w:r w:rsidR="006D3954" w:rsidRPr="00827A22">
        <w:t>oral anticoagulants such as warfarin, factor Xa inhibitors, and direct thrombin inhibitors (</w:t>
      </w:r>
      <w:r w:rsidR="0013230A">
        <w:t xml:space="preserve">e.g., </w:t>
      </w:r>
      <w:r w:rsidR="006D3954" w:rsidRPr="00827A22">
        <w:t>allergic reactions, severe liver disease, recent trauma or surgery, severe high blood pressure, active bleeding, inability to obtain regular INR, etc.)</w:t>
      </w:r>
      <w:r>
        <w:t>.</w:t>
      </w:r>
    </w:p>
    <w:p w14:paraId="46434136" w14:textId="77777777" w:rsidR="00912FCE" w:rsidRDefault="00912FCE" w:rsidP="00912FCE">
      <w:pPr>
        <w:tabs>
          <w:tab w:val="left" w:pos="720"/>
        </w:tabs>
        <w:ind w:left="720"/>
      </w:pPr>
    </w:p>
    <w:p w14:paraId="1D298ED5" w14:textId="77777777" w:rsidR="00912FCE" w:rsidRPr="00827A22" w:rsidRDefault="00912FCE" w:rsidP="00A4034A">
      <w:pPr>
        <w:numPr>
          <w:ilvl w:val="0"/>
          <w:numId w:val="11"/>
        </w:numPr>
        <w:tabs>
          <w:tab w:val="left" w:pos="360"/>
        </w:tabs>
        <w:ind w:left="360"/>
      </w:pPr>
      <w:r w:rsidRPr="00912FCE">
        <w:t>It is the policy of health plans affiliated with Centene Corporation that</w:t>
      </w:r>
      <w:r w:rsidR="0012748F">
        <w:t xml:space="preserve"> all other percutaneous devices </w:t>
      </w:r>
      <w:r w:rsidR="0012748F" w:rsidRPr="0012748F">
        <w:t xml:space="preserve">for occlusion of the </w:t>
      </w:r>
      <w:r w:rsidR="000C0488">
        <w:t>LAA to</w:t>
      </w:r>
      <w:r w:rsidR="00F41C82" w:rsidRPr="00F41C82">
        <w:t xml:space="preserve"> reduce the risk of stroke in adults with non</w:t>
      </w:r>
      <w:r w:rsidR="00B90C40">
        <w:t>-</w:t>
      </w:r>
      <w:r w:rsidR="00F41C82" w:rsidRPr="00F41C82">
        <w:t>valvular atrial fibrillation</w:t>
      </w:r>
      <w:r w:rsidR="00EF2004">
        <w:t xml:space="preserve"> (</w:t>
      </w:r>
      <w:r w:rsidR="00EF2004" w:rsidRPr="00EF2004">
        <w:t>other than the</w:t>
      </w:r>
      <w:r w:rsidR="00A4034A">
        <w:t xml:space="preserve"> </w:t>
      </w:r>
      <w:r w:rsidR="000C0488">
        <w:t xml:space="preserve">WATCHMAN </w:t>
      </w:r>
      <w:r w:rsidR="000C0488" w:rsidRPr="00EF2004">
        <w:t>LAA</w:t>
      </w:r>
      <w:r w:rsidR="00A4034A" w:rsidRPr="00A4034A">
        <w:t xml:space="preserve"> Closure Technology </w:t>
      </w:r>
      <w:r w:rsidR="00EF2004" w:rsidRPr="00EF2004">
        <w:t>noted above</w:t>
      </w:r>
      <w:r w:rsidR="00EF2004">
        <w:t>)</w:t>
      </w:r>
      <w:r w:rsidR="000C0488" w:rsidRPr="00EF2004">
        <w:t>,</w:t>
      </w:r>
      <w:r w:rsidR="000C0488">
        <w:t xml:space="preserve"> </w:t>
      </w:r>
      <w:r w:rsidR="000C0488" w:rsidRPr="00EF2004">
        <w:t>are</w:t>
      </w:r>
      <w:r w:rsidR="0012748F">
        <w:t xml:space="preserve"> considered </w:t>
      </w:r>
      <w:r w:rsidR="0012748F" w:rsidRPr="0013230A">
        <w:rPr>
          <w:b/>
        </w:rPr>
        <w:t>investigational</w:t>
      </w:r>
      <w:r w:rsidR="005F1897">
        <w:rPr>
          <w:b/>
        </w:rPr>
        <w:t xml:space="preserve">.  </w:t>
      </w:r>
      <w:r w:rsidR="005F1897" w:rsidRPr="005F1897">
        <w:t>There is</w:t>
      </w:r>
      <w:r w:rsidR="005F1897">
        <w:rPr>
          <w:b/>
        </w:rPr>
        <w:t xml:space="preserve"> </w:t>
      </w:r>
      <w:r w:rsidR="005F1897">
        <w:t xml:space="preserve">a </w:t>
      </w:r>
      <w:r w:rsidR="005F1897" w:rsidRPr="005F1897">
        <w:t xml:space="preserve">paucity of evidence regarding the long-term </w:t>
      </w:r>
      <w:r w:rsidR="005F1897" w:rsidRPr="005F1897">
        <w:lastRenderedPageBreak/>
        <w:t>safety and efficacy</w:t>
      </w:r>
      <w:r w:rsidR="005F1897">
        <w:t xml:space="preserve"> of these devices and at this time, no other percutaneous device is </w:t>
      </w:r>
      <w:r w:rsidR="005F1897" w:rsidRPr="005F1897">
        <w:t>FDA approved for this indication</w:t>
      </w:r>
      <w:r w:rsidR="005F1897">
        <w:t>.</w:t>
      </w:r>
    </w:p>
    <w:p w14:paraId="5E594F87" w14:textId="77777777" w:rsidR="00171801" w:rsidRDefault="00171801" w:rsidP="003840CC">
      <w:pPr>
        <w:rPr>
          <w:bCs/>
          <w:color w:val="000000"/>
        </w:rPr>
      </w:pPr>
    </w:p>
    <w:p w14:paraId="234CD931" w14:textId="77777777" w:rsidR="00171801" w:rsidRDefault="00171801" w:rsidP="00FB0592">
      <w:pPr>
        <w:pStyle w:val="Heading2"/>
        <w:rPr>
          <w:u w:val="none"/>
        </w:rPr>
      </w:pPr>
      <w:r w:rsidRPr="00B777AF">
        <w:rPr>
          <w:u w:val="none"/>
        </w:rPr>
        <w:t>Background</w:t>
      </w:r>
    </w:p>
    <w:p w14:paraId="5634FCE6" w14:textId="0AA216EB" w:rsidR="00E62CD1" w:rsidRDefault="00B23BC8" w:rsidP="00E62CD1">
      <w:r>
        <w:t xml:space="preserve">The individualized assessment of the risk-benefit balance is central to decision making </w:t>
      </w:r>
      <w:r w:rsidR="00BB00F8">
        <w:t xml:space="preserve">regarding </w:t>
      </w:r>
      <w:r>
        <w:t xml:space="preserve">pharmacotherapy for stroke reduction in AF. To estimate stroke risk, the ACC/American Heart Association/HRS Guideline for the Management of Patients with Atrial Fibrillation recommends the use of the CHA2DS2-VASc point score </w:t>
      </w:r>
      <w:r w:rsidR="00E62CD1">
        <w:t>[</w:t>
      </w:r>
      <w:r>
        <w:t xml:space="preserve">Congestive heart failure, Hypertension, Age </w:t>
      </w:r>
      <w:r w:rsidR="00C36DB1" w:rsidRPr="00C36DB1">
        <w:rPr>
          <w:u w:val="single"/>
        </w:rPr>
        <w:t>&gt;</w:t>
      </w:r>
      <w:r>
        <w:t xml:space="preserve">75 years </w:t>
      </w:r>
      <w:r w:rsidR="00E62CD1">
        <w:t>(</w:t>
      </w:r>
      <w:r>
        <w:t>doubled</w:t>
      </w:r>
      <w:r w:rsidR="00E62CD1">
        <w:t>)</w:t>
      </w:r>
      <w:r>
        <w:t xml:space="preserve">, Diabetes mellitus, prior Stroke, transient ischemic attack, or thromboembolism </w:t>
      </w:r>
      <w:r w:rsidR="00C36DB1">
        <w:t>(</w:t>
      </w:r>
      <w:r>
        <w:t>doubled</w:t>
      </w:r>
      <w:r w:rsidR="00C36DB1">
        <w:t>)</w:t>
      </w:r>
      <w:r>
        <w:t>, Vascular disease, Age 65 to74 years, Sex category), which provides an estimate of the potential benefits of therapy.  Per the guideline, oral</w:t>
      </w:r>
      <w:r w:rsidR="00E62CD1">
        <w:t xml:space="preserve"> anticoagulation is a class I recommendation for patients with prior stroke</w:t>
      </w:r>
      <w:r w:rsidR="00827A22">
        <w:t xml:space="preserve">, </w:t>
      </w:r>
      <w:r w:rsidR="00E62CD1">
        <w:t xml:space="preserve"> </w:t>
      </w:r>
      <w:r w:rsidR="00827A22">
        <w:t xml:space="preserve">transient ischemic attack (TIA), </w:t>
      </w:r>
      <w:r w:rsidR="00E62CD1">
        <w:t xml:space="preserve">or a CHA2DS2-VASc score </w:t>
      </w:r>
      <w:r w:rsidR="00E62CD1" w:rsidRPr="00E62CD1">
        <w:rPr>
          <w:u w:val="single"/>
        </w:rPr>
        <w:t>&gt;</w:t>
      </w:r>
      <w:r w:rsidR="00E62CD1" w:rsidRPr="00E62CD1">
        <w:t xml:space="preserve"> </w:t>
      </w:r>
      <w:r w:rsidR="00E62CD1">
        <w:t>2 (estimated annual stroke risk of</w:t>
      </w:r>
      <w:r w:rsidR="00827A22">
        <w:t xml:space="preserve"> </w:t>
      </w:r>
      <w:r w:rsidR="00E62CD1">
        <w:t>2.2%) in the context of shared decision making, including a discussion of risks of stroke and bleeding</w:t>
      </w:r>
      <w:r w:rsidR="00A85B08">
        <w:t>,</w:t>
      </w:r>
      <w:r w:rsidR="00E62CD1">
        <w:t xml:space="preserve"> and the patient’s preferences.</w:t>
      </w:r>
      <w:r w:rsidR="00E62CD1" w:rsidRPr="00E62CD1">
        <w:rPr>
          <w:vertAlign w:val="superscript"/>
        </w:rPr>
        <w:t>2</w:t>
      </w:r>
      <w:r>
        <w:t xml:space="preserve"> </w:t>
      </w:r>
    </w:p>
    <w:p w14:paraId="49D6E410" w14:textId="77777777" w:rsidR="00B23BC8" w:rsidRPr="00B23BC8" w:rsidRDefault="00B23BC8" w:rsidP="00B23BC8"/>
    <w:p w14:paraId="53F811DA" w14:textId="603C6F19" w:rsidR="00F55E9D" w:rsidRDefault="00151DE0" w:rsidP="00EA547C">
      <w:r w:rsidRPr="00151DE0">
        <w:t>Some patients with AF</w:t>
      </w:r>
      <w:r w:rsidR="00A85B08">
        <w:t>,</w:t>
      </w:r>
      <w:r w:rsidRPr="00151DE0">
        <w:t xml:space="preserve"> whose stroke risk profiles would favor anticoagulation</w:t>
      </w:r>
      <w:r w:rsidR="00A85B08">
        <w:t>,</w:t>
      </w:r>
      <w:r w:rsidRPr="00151DE0">
        <w:t xml:space="preserve"> have relative or absolute contraindications to anticoagulation. Others are unable or unwilling to adhere to long-term anticoagulation therapy.</w:t>
      </w:r>
      <w:r w:rsidR="008A1D51">
        <w:t xml:space="preserve">  A</w:t>
      </w:r>
      <w:r w:rsidR="00C36DB1">
        <w:t xml:space="preserve">s a result, a </w:t>
      </w:r>
      <w:r w:rsidR="008A1D51">
        <w:t>number of percutaneous techniques</w:t>
      </w:r>
      <w:r w:rsidR="00C36DB1">
        <w:t xml:space="preserve"> that </w:t>
      </w:r>
      <w:r w:rsidR="00C36DB1" w:rsidRPr="00C36DB1">
        <w:t>mechanically prevent embolization of LAA thrombi</w:t>
      </w:r>
      <w:r w:rsidR="00C36DB1">
        <w:t xml:space="preserve">, </w:t>
      </w:r>
      <w:r w:rsidR="00C36DB1" w:rsidRPr="00C36DB1">
        <w:t>often referred to as LAA exclusion procedures</w:t>
      </w:r>
      <w:r w:rsidR="00C36DB1">
        <w:t>, h</w:t>
      </w:r>
      <w:r w:rsidR="00C36DB1" w:rsidRPr="00C36DB1">
        <w:t xml:space="preserve">ave </w:t>
      </w:r>
      <w:r w:rsidR="00C36DB1">
        <w:t xml:space="preserve">been investigated </w:t>
      </w:r>
      <w:r w:rsidR="00C36DB1" w:rsidRPr="00C36DB1">
        <w:t>as an alternative</w:t>
      </w:r>
      <w:r w:rsidR="00C36DB1">
        <w:t xml:space="preserve"> to </w:t>
      </w:r>
      <w:r w:rsidR="00C36DB1" w:rsidRPr="00C36DB1">
        <w:t>pharmacological therapy to reduce the risk of stroke</w:t>
      </w:r>
      <w:r w:rsidR="00C36DB1">
        <w:t xml:space="preserve">.  </w:t>
      </w:r>
      <w:r w:rsidR="00E06E15">
        <w:t xml:space="preserve">The percutaneous devices include </w:t>
      </w:r>
      <w:r w:rsidR="00E06E15" w:rsidRPr="00E06E15">
        <w:t>two broad categories: endocardial plug devices to occlude the ostium of the LAA and epicardial LAA ligation procedures to exclude the LAA</w:t>
      </w:r>
      <w:r w:rsidR="00E06E15">
        <w:t xml:space="preserve">.  </w:t>
      </w:r>
      <w:r w:rsidR="00E06E15" w:rsidRPr="00E06E15">
        <w:t xml:space="preserve"> </w:t>
      </w:r>
    </w:p>
    <w:p w14:paraId="0755E1A8" w14:textId="77777777" w:rsidR="00BB00F8" w:rsidRDefault="00C36DB1" w:rsidP="00EA547C">
      <w:r>
        <w:t>At this time,</w:t>
      </w:r>
      <w:r w:rsidR="008A1D51">
        <w:t xml:space="preserve"> only </w:t>
      </w:r>
      <w:r w:rsidR="00CB54F4">
        <w:t xml:space="preserve">the </w:t>
      </w:r>
      <w:r w:rsidR="00D746CF" w:rsidRPr="00D746CF">
        <w:t>WATCHMAN LAA Closure Technology</w:t>
      </w:r>
      <w:r w:rsidR="00D746CF">
        <w:t xml:space="preserve"> (Boston Scientific Corporation) </w:t>
      </w:r>
      <w:r w:rsidR="008A1D51">
        <w:t>has been evaluated in randomized controlled trials compared with the current standard of care.  This device</w:t>
      </w:r>
      <w:r w:rsidR="00084F07">
        <w:t xml:space="preserve"> </w:t>
      </w:r>
      <w:r w:rsidR="008A1D51">
        <w:t>has received approval by the Food and Drug Administration (FDA) as an alternative to warfarin for stroke prevention</w:t>
      </w:r>
      <w:r w:rsidR="00CB54F4">
        <w:t xml:space="preserve">.  </w:t>
      </w:r>
    </w:p>
    <w:p w14:paraId="21AFDEC0" w14:textId="77777777" w:rsidR="00BB00F8" w:rsidRDefault="00BB00F8" w:rsidP="00EA547C"/>
    <w:p w14:paraId="73013C5F" w14:textId="57F34F0D" w:rsidR="00BB00F8" w:rsidRDefault="00CB54F4" w:rsidP="00EA547C">
      <w:pPr>
        <w:rPr>
          <w:vertAlign w:val="superscript"/>
        </w:rPr>
      </w:pPr>
      <w:r>
        <w:t>The W</w:t>
      </w:r>
      <w:r w:rsidR="00E06E15">
        <w:t xml:space="preserve">ATCHMAN </w:t>
      </w:r>
      <w:r>
        <w:t>device is deployed percutaneously via</w:t>
      </w:r>
      <w:r w:rsidR="00836CA0">
        <w:t xml:space="preserve"> </w:t>
      </w:r>
      <w:r>
        <w:t>transseptal puncture and has a polyethylene membrane that covers a self-expanding nitinol cage with barbs to anchor the device in the LAA</w:t>
      </w:r>
      <w:r w:rsidR="00E06E15">
        <w:t>.</w:t>
      </w:r>
      <w:r>
        <w:t xml:space="preserve"> The early findings for the WATCHMAN device suggest noninferiority to warfarin for the composite endpoint of stroke, systemic embolism, and cardiovascular death; however, early adverse events occur in approximately 10% of patients, including pericardial </w:t>
      </w:r>
      <w:r>
        <w:lastRenderedPageBreak/>
        <w:t>bleeding. Longer-term follow-up of the WATCHMAN device</w:t>
      </w:r>
      <w:r w:rsidR="00836CA0">
        <w:t xml:space="preserve"> </w:t>
      </w:r>
      <w:r>
        <w:t>at 1588 patient-years suggests noninferiority of this device to warfarin</w:t>
      </w:r>
      <w:r w:rsidR="00870AEE">
        <w:t>.</w:t>
      </w:r>
      <w:r w:rsidR="00870AEE" w:rsidRPr="00870AEE">
        <w:rPr>
          <w:vertAlign w:val="superscript"/>
        </w:rPr>
        <w:t>3</w:t>
      </w:r>
      <w:r>
        <w:t xml:space="preserve"> A subsequent registry study demonstrated that the WATCHMAN device achieved noninferiority in</w:t>
      </w:r>
      <w:r w:rsidR="00836CA0">
        <w:t xml:space="preserve"> </w:t>
      </w:r>
      <w:r>
        <w:t>patients who could not receive warfarin</w:t>
      </w:r>
      <w:r w:rsidR="00870AEE">
        <w:t>.</w:t>
      </w:r>
      <w:r w:rsidR="00870AEE" w:rsidRPr="00870AEE">
        <w:rPr>
          <w:vertAlign w:val="superscript"/>
        </w:rPr>
        <w:t>4</w:t>
      </w:r>
      <w:r>
        <w:t xml:space="preserve"> </w:t>
      </w:r>
      <w:r w:rsidR="007B3C0F">
        <w:t xml:space="preserve">Quality of life was assessed in a </w:t>
      </w:r>
      <w:r w:rsidR="007B3C0F" w:rsidRPr="007B3C0F">
        <w:t xml:space="preserve">subset of patients </w:t>
      </w:r>
      <w:r w:rsidR="00970D9B">
        <w:t>(361</w:t>
      </w:r>
      <w:r w:rsidR="007B3C0F" w:rsidRPr="007B3C0F">
        <w:t>device and 186 warfarin patients)</w:t>
      </w:r>
      <w:r w:rsidR="007B3C0F">
        <w:t xml:space="preserve"> </w:t>
      </w:r>
      <w:r w:rsidR="007B3C0F" w:rsidRPr="007B3C0F">
        <w:t xml:space="preserve">enrolled in the PROTECT AF (Percutaneous Closure of the Left Atrial Appendage Versus Warfarin Therapy for Prevention of Stroke in Patients </w:t>
      </w:r>
      <w:r w:rsidR="007B3C0F">
        <w:t>With Atrial Fibrillation) trial at baseline and 12 months.  It was reported that p</w:t>
      </w:r>
      <w:r w:rsidR="007B3C0F" w:rsidRPr="007B3C0F">
        <w:t>atients with non</w:t>
      </w:r>
      <w:r w:rsidR="00EC6EFD">
        <w:t>-</w:t>
      </w:r>
      <w:r w:rsidR="007B3C0F" w:rsidRPr="007B3C0F">
        <w:t>valvular AF at risk for stroke</w:t>
      </w:r>
      <w:r w:rsidR="00970D9B">
        <w:t>,</w:t>
      </w:r>
      <w:r w:rsidR="007B3C0F" w:rsidRPr="007B3C0F">
        <w:t xml:space="preserve"> treated with left atrial appendage closure</w:t>
      </w:r>
      <w:r w:rsidR="00970D9B">
        <w:t>,</w:t>
      </w:r>
      <w:r w:rsidR="007B3C0F" w:rsidRPr="007B3C0F">
        <w:t xml:space="preserve"> have favorable QOL changes at 12 months versus patients treated with warfarin</w:t>
      </w:r>
      <w:r w:rsidR="007B3C0F">
        <w:t xml:space="preserve">. </w:t>
      </w:r>
      <w:r w:rsidR="007B3C0F" w:rsidRPr="007B3C0F">
        <w:rPr>
          <w:vertAlign w:val="superscript"/>
        </w:rPr>
        <w:t>5</w:t>
      </w:r>
      <w:r w:rsidR="00C75ECB">
        <w:rPr>
          <w:vertAlign w:val="superscript"/>
        </w:rPr>
        <w:t xml:space="preserve">  </w:t>
      </w:r>
    </w:p>
    <w:p w14:paraId="7508CAF4" w14:textId="77777777" w:rsidR="00BB00F8" w:rsidRDefault="00BB00F8" w:rsidP="00EA547C">
      <w:pPr>
        <w:rPr>
          <w:vertAlign w:val="superscript"/>
        </w:rPr>
      </w:pPr>
    </w:p>
    <w:p w14:paraId="001D58A0" w14:textId="288216DC" w:rsidR="00A51BAF" w:rsidRPr="0079587D" w:rsidRDefault="00C75ECB" w:rsidP="00EA547C">
      <w:pPr>
        <w:rPr>
          <w:vertAlign w:val="superscript"/>
        </w:rPr>
      </w:pPr>
      <w:r w:rsidRPr="0079587D">
        <w:t xml:space="preserve">The available evidence suggests the Watchman device </w:t>
      </w:r>
      <w:r w:rsidR="00BB00F8">
        <w:t xml:space="preserve">may be potentially beneficial </w:t>
      </w:r>
      <w:r w:rsidRPr="0079587D">
        <w:t xml:space="preserve">for stroke prevention in adult patients with </w:t>
      </w:r>
      <w:r w:rsidR="00BB00F8">
        <w:t>non</w:t>
      </w:r>
      <w:r w:rsidR="004E5644">
        <w:t>-</w:t>
      </w:r>
      <w:r w:rsidR="00BB00F8">
        <w:t xml:space="preserve">valvular </w:t>
      </w:r>
      <w:r w:rsidRPr="0079587D">
        <w:t>AF at increased risk of stroke and systemic embolism. However, there is uncertainty</w:t>
      </w:r>
      <w:r w:rsidR="00BB00F8">
        <w:t xml:space="preserve"> about</w:t>
      </w:r>
      <w:r w:rsidRPr="0079587D">
        <w:t xml:space="preserve"> whether the benefi</w:t>
      </w:r>
      <w:r w:rsidR="00BB00F8">
        <w:t xml:space="preserve">t outweighs possible harms, </w:t>
      </w:r>
      <w:r w:rsidRPr="0079587D">
        <w:t>given the potential for device-related complications or mortality</w:t>
      </w:r>
      <w:r>
        <w:t>.</w:t>
      </w:r>
      <w:r w:rsidRPr="0079587D">
        <w:rPr>
          <w:vertAlign w:val="superscript"/>
        </w:rPr>
        <w:t>22</w:t>
      </w:r>
      <w:r w:rsidR="00236C6C">
        <w:rPr>
          <w:vertAlign w:val="superscript"/>
        </w:rPr>
        <w:t xml:space="preserve">   </w:t>
      </w:r>
      <w:r w:rsidR="00236C6C" w:rsidRPr="0079587D">
        <w:t xml:space="preserve">Percutaneous LAA closure is associated with a measurable risk of serious procedure-/device-related complications (e.g., major bleeding, pericardial effusion, stroke, device embolization, cardiac perforation or tamponade) with reported mortality rates ranging from 0% to 4%. </w:t>
      </w:r>
      <w:r w:rsidR="00236C6C" w:rsidRPr="00236C6C">
        <w:rPr>
          <w:vertAlign w:val="superscript"/>
        </w:rPr>
        <w:t>22</w:t>
      </w:r>
    </w:p>
    <w:p w14:paraId="00DD9113" w14:textId="77777777" w:rsidR="00827A22" w:rsidRDefault="00827A22" w:rsidP="00CB54F4"/>
    <w:p w14:paraId="4F133A0E" w14:textId="5863BB16" w:rsidR="00CB54F4" w:rsidRDefault="00973A35" w:rsidP="00CB54F4">
      <w:r>
        <w:t xml:space="preserve">The </w:t>
      </w:r>
      <w:r w:rsidR="00CB54F4">
        <w:t>LARIAT device (SentreHEART</w:t>
      </w:r>
      <w:r w:rsidR="00E77F91">
        <w:t>)</w:t>
      </w:r>
      <w:r w:rsidR="00CB54F4">
        <w:t xml:space="preserve"> has FDA approval </w:t>
      </w:r>
      <w:r w:rsidR="007022EC" w:rsidRPr="007022EC">
        <w:t xml:space="preserve">to </w:t>
      </w:r>
      <w:r w:rsidR="00E810F5" w:rsidRPr="00E810F5">
        <w:t xml:space="preserve">facilitate suture placement and knot tying in surgical applications where soft tissues are being approximated or ligated </w:t>
      </w:r>
      <w:r w:rsidR="0012748F">
        <w:t>with a pre</w:t>
      </w:r>
      <w:r w:rsidR="00BB00F8">
        <w:t>-</w:t>
      </w:r>
      <w:r w:rsidR="0012748F">
        <w:t>tied polyester suture</w:t>
      </w:r>
      <w:r w:rsidR="00E810F5">
        <w:t>.</w:t>
      </w:r>
      <w:r>
        <w:t xml:space="preserve"> </w:t>
      </w:r>
      <w:r w:rsidR="007022EC" w:rsidRPr="007022EC">
        <w:t>The FDA has not evaluated the use of the LARIAT Suture Delivery Device for LAA closure to reduce the risk of stroke in atrial fibrillation patients.</w:t>
      </w:r>
      <w:r w:rsidR="007022EC">
        <w:t xml:space="preserve">  In fact, the FDA has alerted health </w:t>
      </w:r>
      <w:r w:rsidR="007022EC" w:rsidRPr="007022EC">
        <w:t xml:space="preserve">care providers and patients of reports of patient deaths and other serious adverse events associated with the use of the LARIAT Suture Delivery Device </w:t>
      </w:r>
      <w:r w:rsidR="007022EC">
        <w:t>for this off label indication.</w:t>
      </w:r>
    </w:p>
    <w:p w14:paraId="2FA6FD1F" w14:textId="77777777" w:rsidR="007022EC" w:rsidRDefault="007022EC" w:rsidP="00CB54F4"/>
    <w:p w14:paraId="7CDE39A0" w14:textId="050D2F82" w:rsidR="007022EC" w:rsidRPr="0012748F" w:rsidRDefault="00970D9B" w:rsidP="0012748F">
      <w:r>
        <w:t>The FDA-</w:t>
      </w:r>
      <w:r w:rsidR="00A51BAF">
        <w:t xml:space="preserve">approved </w:t>
      </w:r>
      <w:r w:rsidR="00771293">
        <w:t xml:space="preserve">AtriClip LAA Exclusion System is indicated for the occlusion of the heart’s </w:t>
      </w:r>
      <w:r>
        <w:t>LAA</w:t>
      </w:r>
      <w:r w:rsidR="00771293">
        <w:t xml:space="preserve">, performed under direct visualization and in conjunction with other cardiac surgical procedures.  Direct visualization, in this context, requires that the surgeon is able to see the heart directly, with or without assistance from a camera, endoscope, etc., or other appropriate viewing technologies.  The </w:t>
      </w:r>
      <w:r>
        <w:t>American Heart Association/American College of Cardiology/ Heart Rhythm Society (</w:t>
      </w:r>
      <w:r w:rsidR="00771293">
        <w:t>AHA/ACC/HRS</w:t>
      </w:r>
      <w:r>
        <w:t>)</w:t>
      </w:r>
      <w:r w:rsidR="00771293">
        <w:t xml:space="preserve"> conclude</w:t>
      </w:r>
      <w:r>
        <w:t>s</w:t>
      </w:r>
      <w:r w:rsidR="00771293">
        <w:t xml:space="preserve"> </w:t>
      </w:r>
      <w:r w:rsidR="00BB00F8">
        <w:t xml:space="preserve">that </w:t>
      </w:r>
      <w:r w:rsidR="00771293">
        <w:t>the current data on LA occlusion at the</w:t>
      </w:r>
      <w:r w:rsidR="000603D4">
        <w:t xml:space="preserve"> time of  </w:t>
      </w:r>
      <w:r w:rsidR="00771293">
        <w:t xml:space="preserve">concomitant cardiac surgery reveal a lack of clear consensus because of </w:t>
      </w:r>
      <w:r w:rsidR="00771293">
        <w:lastRenderedPageBreak/>
        <w:t>the inconsistency of techniques used for surgical excision, the highly variable rates of successful LAA occlusion, and the unknown impact of LAA occlusion on future thromboembolic events.</w:t>
      </w:r>
      <w:r w:rsidR="00771293" w:rsidRPr="00771293">
        <w:rPr>
          <w:vertAlign w:val="superscript"/>
        </w:rPr>
        <w:t>1</w:t>
      </w:r>
      <w:r w:rsidR="0012748F">
        <w:rPr>
          <w:vertAlign w:val="superscript"/>
        </w:rPr>
        <w:t xml:space="preserve">  </w:t>
      </w:r>
      <w:r w:rsidR="0012748F" w:rsidRPr="0012748F">
        <w:t>Per the</w:t>
      </w:r>
      <w:r w:rsidR="0012748F">
        <w:rPr>
          <w:vertAlign w:val="superscript"/>
        </w:rPr>
        <w:t xml:space="preserve"> </w:t>
      </w:r>
      <w:r w:rsidR="0012748F" w:rsidRPr="0012748F">
        <w:t xml:space="preserve"> AHA/ACC/HRS</w:t>
      </w:r>
      <w:r w:rsidR="0012748F">
        <w:t xml:space="preserve">, </w:t>
      </w:r>
      <w:r w:rsidR="0012748F" w:rsidRPr="0012748F">
        <w:t>surgical excision of the LAA may be considered in patients</w:t>
      </w:r>
      <w:r w:rsidR="0012748F">
        <w:t xml:space="preserve"> </w:t>
      </w:r>
      <w:r w:rsidR="0012748F" w:rsidRPr="0012748F">
        <w:t>undergoing cardiac surgery. (IIb recommendation- usefulness/efficacy is less well established.)</w:t>
      </w:r>
    </w:p>
    <w:p w14:paraId="7455AFB3" w14:textId="77777777" w:rsidR="000B1DC9" w:rsidRDefault="000B1DC9" w:rsidP="00771293">
      <w:pPr>
        <w:rPr>
          <w:vertAlign w:val="superscript"/>
        </w:rPr>
      </w:pPr>
    </w:p>
    <w:p w14:paraId="16425A8B" w14:textId="5EB4D017" w:rsidR="00827A22" w:rsidRPr="00827A22" w:rsidRDefault="00827A22" w:rsidP="00771293">
      <w:r w:rsidRPr="00827A22">
        <w:t xml:space="preserve">Various other devices continue to </w:t>
      </w:r>
      <w:r w:rsidR="00970D9B">
        <w:t>be investigated and some have European Conformity (CE)</w:t>
      </w:r>
      <w:r w:rsidRPr="00827A22">
        <w:t xml:space="preserve"> approval in Europe for LAA closure but they do not have FDA approval in the US.  Some examples include Amplatzer cardiac plug, redesigned as the Amplatzer Amulet (St. Jude Medical), WaveCrest (Coherex Medical), LAmbre (Lifetech Scientific Corp), Occlutech LAA Occluder (Occlutech International AB), and </w:t>
      </w:r>
      <w:r w:rsidR="00397F0E" w:rsidRPr="00827A22">
        <w:t>the Cardia</w:t>
      </w:r>
      <w:r w:rsidRPr="00827A22">
        <w:t xml:space="preserve"> Ultrasept LAA Occluder (Cardia).</w:t>
      </w:r>
    </w:p>
    <w:p w14:paraId="0A984B5C" w14:textId="77777777" w:rsidR="000B1DC9" w:rsidRDefault="000B1DC9" w:rsidP="00771293"/>
    <w:p w14:paraId="0F8FB921" w14:textId="77777777" w:rsidR="00650D12" w:rsidRPr="00EB6568" w:rsidRDefault="00EB6568">
      <w:pPr>
        <w:rPr>
          <w:bCs/>
          <w:i/>
        </w:rPr>
      </w:pPr>
      <w:r w:rsidRPr="00EB6568">
        <w:rPr>
          <w:bCs/>
          <w:i/>
        </w:rPr>
        <w:t xml:space="preserve">National Institute for Health and Clinical Excellence </w:t>
      </w:r>
      <w:r>
        <w:rPr>
          <w:bCs/>
          <w:i/>
        </w:rPr>
        <w:t>(NICE)</w:t>
      </w:r>
    </w:p>
    <w:p w14:paraId="17BDDD04" w14:textId="599FF0CC" w:rsidR="00650D12" w:rsidRDefault="00EB6568">
      <w:pPr>
        <w:rPr>
          <w:bCs/>
        </w:rPr>
      </w:pPr>
      <w:r w:rsidRPr="00EB6568">
        <w:rPr>
          <w:bCs/>
        </w:rPr>
        <w:t>Current evidence suggests that percutaneous occlusion of the</w:t>
      </w:r>
      <w:r w:rsidR="000C0488">
        <w:rPr>
          <w:bCs/>
        </w:rPr>
        <w:t xml:space="preserve"> </w:t>
      </w:r>
      <w:r w:rsidRPr="00EB6568">
        <w:rPr>
          <w:bCs/>
        </w:rPr>
        <w:t>LAA</w:t>
      </w:r>
      <w:r w:rsidR="000C0488">
        <w:rPr>
          <w:bCs/>
        </w:rPr>
        <w:t xml:space="preserve"> </w:t>
      </w:r>
      <w:r w:rsidRPr="00EB6568">
        <w:rPr>
          <w:bCs/>
        </w:rPr>
        <w:t>is efficacious in reducing the risk of thromboembolic complications associated with nonvalvular</w:t>
      </w:r>
      <w:r w:rsidR="000C0488">
        <w:rPr>
          <w:bCs/>
        </w:rPr>
        <w:t xml:space="preserve"> </w:t>
      </w:r>
      <w:r w:rsidRPr="00EB6568">
        <w:rPr>
          <w:bCs/>
        </w:rPr>
        <w:t>AF. With regard to safety, there is a risk of life-threatening complications from the procedure, but the incidence of these is low. Therefore, this procedure may be used</w:t>
      </w:r>
      <w:r w:rsidR="00970D9B">
        <w:rPr>
          <w:bCs/>
        </w:rPr>
        <w:t>,</w:t>
      </w:r>
      <w:r w:rsidRPr="00EB6568">
        <w:rPr>
          <w:bCs/>
        </w:rPr>
        <w:t xml:space="preserve"> provided that normal arrangements are in place for clinical governance, consent and audit.</w:t>
      </w:r>
      <w:r w:rsidR="007B0AF5" w:rsidRPr="007B0AF5">
        <w:rPr>
          <w:bCs/>
          <w:vertAlign w:val="superscript"/>
        </w:rPr>
        <w:t>7</w:t>
      </w:r>
    </w:p>
    <w:p w14:paraId="69D49481" w14:textId="77777777" w:rsidR="000B1DC9" w:rsidRDefault="000B1DC9">
      <w:pPr>
        <w:rPr>
          <w:bCs/>
        </w:rPr>
      </w:pPr>
    </w:p>
    <w:p w14:paraId="1B51FF98" w14:textId="77777777" w:rsidR="0070494B" w:rsidRPr="0070494B" w:rsidRDefault="0070494B">
      <w:pPr>
        <w:rPr>
          <w:bCs/>
          <w:i/>
        </w:rPr>
      </w:pPr>
      <w:r w:rsidRPr="0070494B">
        <w:rPr>
          <w:bCs/>
          <w:i/>
        </w:rPr>
        <w:t>European Society of Cardiology</w:t>
      </w:r>
    </w:p>
    <w:p w14:paraId="33C71ED2" w14:textId="77777777" w:rsidR="000B1DC9" w:rsidRDefault="000B1DC9">
      <w:pPr>
        <w:rPr>
          <w:bCs/>
        </w:rPr>
      </w:pPr>
      <w:r w:rsidRPr="000B1DC9">
        <w:rPr>
          <w:bCs/>
        </w:rPr>
        <w:t xml:space="preserve">Guidelines for the Management of Atrial Fibrillation </w:t>
      </w:r>
      <w:r w:rsidR="0070494B">
        <w:rPr>
          <w:bCs/>
        </w:rPr>
        <w:t xml:space="preserve">states </w:t>
      </w:r>
      <w:r w:rsidR="0070494B" w:rsidRPr="0070494B">
        <w:rPr>
          <w:bCs/>
        </w:rPr>
        <w:t>LAA occlusion may be considered for stroke prevention</w:t>
      </w:r>
      <w:r w:rsidR="00970D9B">
        <w:rPr>
          <w:bCs/>
        </w:rPr>
        <w:t xml:space="preserve"> in patients with AF and contra</w:t>
      </w:r>
      <w:r w:rsidR="0070494B" w:rsidRPr="0070494B">
        <w:rPr>
          <w:bCs/>
        </w:rPr>
        <w:t>indications for</w:t>
      </w:r>
      <w:r w:rsidR="0070494B">
        <w:rPr>
          <w:bCs/>
        </w:rPr>
        <w:t xml:space="preserve"> </w:t>
      </w:r>
      <w:r w:rsidR="0070494B" w:rsidRPr="0070494B">
        <w:rPr>
          <w:bCs/>
        </w:rPr>
        <w:t>long-term anticoagulant treatment</w:t>
      </w:r>
      <w:r w:rsidR="0070494B">
        <w:rPr>
          <w:bCs/>
        </w:rPr>
        <w:t xml:space="preserve">. </w:t>
      </w:r>
      <w:r w:rsidR="00A51BAF">
        <w:rPr>
          <w:bCs/>
        </w:rPr>
        <w:t>(</w:t>
      </w:r>
      <w:r w:rsidRPr="000B1DC9">
        <w:rPr>
          <w:bCs/>
        </w:rPr>
        <w:t>Class IIb recommendation</w:t>
      </w:r>
      <w:r w:rsidR="00A51BAF">
        <w:rPr>
          <w:bCs/>
        </w:rPr>
        <w:t>-</w:t>
      </w:r>
      <w:r w:rsidRPr="000B1DC9">
        <w:rPr>
          <w:bCs/>
        </w:rPr>
        <w:t>usefulness/efficacy is less well established by evidence/opinion</w:t>
      </w:r>
      <w:r w:rsidR="00A51BAF">
        <w:rPr>
          <w:bCs/>
        </w:rPr>
        <w:t>.)</w:t>
      </w:r>
      <w:r w:rsidR="00F2015B">
        <w:rPr>
          <w:bCs/>
        </w:rPr>
        <w:t xml:space="preserve"> </w:t>
      </w:r>
      <w:r w:rsidR="007B0AF5" w:rsidRPr="007B0AF5">
        <w:rPr>
          <w:bCs/>
          <w:vertAlign w:val="superscript"/>
        </w:rPr>
        <w:t>9</w:t>
      </w:r>
    </w:p>
    <w:p w14:paraId="78F62565" w14:textId="77777777" w:rsidR="000B1DC9" w:rsidRDefault="000B1DC9">
      <w:pPr>
        <w:rPr>
          <w:bCs/>
        </w:rPr>
      </w:pPr>
    </w:p>
    <w:p w14:paraId="16057BFF" w14:textId="77777777" w:rsidR="00771293" w:rsidRPr="00973A35" w:rsidRDefault="002D672E" w:rsidP="00771293">
      <w:pPr>
        <w:rPr>
          <w:bCs/>
          <w:i/>
        </w:rPr>
      </w:pPr>
      <w:r w:rsidRPr="00973A35">
        <w:rPr>
          <w:bCs/>
          <w:i/>
        </w:rPr>
        <w:t>American</w:t>
      </w:r>
      <w:r w:rsidR="006D3954" w:rsidRPr="00973A35">
        <w:rPr>
          <w:bCs/>
          <w:i/>
        </w:rPr>
        <w:t xml:space="preserve"> </w:t>
      </w:r>
      <w:r w:rsidRPr="00973A35">
        <w:rPr>
          <w:bCs/>
          <w:i/>
        </w:rPr>
        <w:t>Heart Association/</w:t>
      </w:r>
      <w:r w:rsidR="00973A35" w:rsidRPr="00973A35">
        <w:rPr>
          <w:bCs/>
          <w:i/>
        </w:rPr>
        <w:t>American College of Cardiology/</w:t>
      </w:r>
      <w:r w:rsidRPr="00973A35">
        <w:rPr>
          <w:bCs/>
          <w:i/>
        </w:rPr>
        <w:t xml:space="preserve"> </w:t>
      </w:r>
      <w:r w:rsidR="00973A35" w:rsidRPr="00973A35">
        <w:rPr>
          <w:bCs/>
          <w:i/>
        </w:rPr>
        <w:t>Heart Rhythm Society</w:t>
      </w:r>
    </w:p>
    <w:p w14:paraId="6B72931E" w14:textId="05FDD055" w:rsidR="002D672E" w:rsidRPr="00EB6568" w:rsidRDefault="00973A35" w:rsidP="00771293">
      <w:pPr>
        <w:rPr>
          <w:bCs/>
        </w:rPr>
      </w:pPr>
      <w:r>
        <w:rPr>
          <w:bCs/>
        </w:rPr>
        <w:t>T</w:t>
      </w:r>
      <w:r w:rsidR="00771293">
        <w:rPr>
          <w:bCs/>
        </w:rPr>
        <w:t xml:space="preserve">he latest guideline on the management of patients with atrial fibrillation </w:t>
      </w:r>
      <w:r w:rsidR="00E36D66">
        <w:rPr>
          <w:bCs/>
        </w:rPr>
        <w:t xml:space="preserve">(2014) </w:t>
      </w:r>
      <w:r w:rsidR="008E4FA5">
        <w:rPr>
          <w:bCs/>
        </w:rPr>
        <w:t>briefly addresses p</w:t>
      </w:r>
      <w:r w:rsidR="008E4FA5" w:rsidRPr="008E4FA5">
        <w:rPr>
          <w:bCs/>
        </w:rPr>
        <w:t xml:space="preserve">ercutaneous </w:t>
      </w:r>
      <w:r w:rsidR="008E4FA5">
        <w:rPr>
          <w:bCs/>
        </w:rPr>
        <w:t>a</w:t>
      </w:r>
      <w:r w:rsidR="008E4FA5" w:rsidRPr="008E4FA5">
        <w:rPr>
          <w:bCs/>
        </w:rPr>
        <w:t xml:space="preserve">pproaches to </w:t>
      </w:r>
      <w:r w:rsidR="008E4FA5">
        <w:rPr>
          <w:bCs/>
        </w:rPr>
        <w:t>o</w:t>
      </w:r>
      <w:r w:rsidR="008E4FA5" w:rsidRPr="008E4FA5">
        <w:rPr>
          <w:bCs/>
        </w:rPr>
        <w:t>cclude the LAA</w:t>
      </w:r>
      <w:r w:rsidR="008E4FA5">
        <w:rPr>
          <w:bCs/>
        </w:rPr>
        <w:t xml:space="preserve">, but </w:t>
      </w:r>
      <w:r w:rsidR="00771293" w:rsidRPr="00771293">
        <w:rPr>
          <w:bCs/>
        </w:rPr>
        <w:t xml:space="preserve">does not include recommendations for the use of </w:t>
      </w:r>
      <w:r w:rsidR="00BB00F8">
        <w:rPr>
          <w:bCs/>
        </w:rPr>
        <w:t>these</w:t>
      </w:r>
      <w:r w:rsidR="00771293" w:rsidRPr="00771293">
        <w:rPr>
          <w:bCs/>
        </w:rPr>
        <w:t xml:space="preserve"> devices</w:t>
      </w:r>
      <w:r w:rsidR="008E4FA5">
        <w:rPr>
          <w:bCs/>
        </w:rPr>
        <w:t xml:space="preserve">.  At </w:t>
      </w:r>
      <w:r w:rsidR="008E4FA5" w:rsidRPr="008E4FA5">
        <w:rPr>
          <w:bCs/>
        </w:rPr>
        <w:t>the time of the development of the guideline</w:t>
      </w:r>
      <w:r w:rsidR="008E4FA5">
        <w:rPr>
          <w:bCs/>
        </w:rPr>
        <w:t xml:space="preserve">, no percutaneous LAA closure device had </w:t>
      </w:r>
      <w:r w:rsidR="00BB00F8">
        <w:rPr>
          <w:bCs/>
        </w:rPr>
        <w:t>a</w:t>
      </w:r>
      <w:r w:rsidR="00771293" w:rsidRPr="00771293">
        <w:rPr>
          <w:bCs/>
        </w:rPr>
        <w:t>n FDA</w:t>
      </w:r>
      <w:r w:rsidR="00970D9B">
        <w:rPr>
          <w:bCs/>
        </w:rPr>
        <w:t>-</w:t>
      </w:r>
      <w:r w:rsidR="00771293" w:rsidRPr="00771293">
        <w:rPr>
          <w:bCs/>
        </w:rPr>
        <w:t>approv</w:t>
      </w:r>
      <w:r w:rsidR="008E4FA5">
        <w:rPr>
          <w:bCs/>
        </w:rPr>
        <w:t>al</w:t>
      </w:r>
      <w:r w:rsidR="00BB00F8">
        <w:rPr>
          <w:bCs/>
        </w:rPr>
        <w:t xml:space="preserve"> </w:t>
      </w:r>
      <w:r w:rsidR="00771293" w:rsidRPr="00771293">
        <w:rPr>
          <w:bCs/>
        </w:rPr>
        <w:t>labeled for the indication</w:t>
      </w:r>
      <w:r>
        <w:rPr>
          <w:bCs/>
        </w:rPr>
        <w:t xml:space="preserve"> </w:t>
      </w:r>
      <w:r w:rsidR="00771293" w:rsidRPr="00771293">
        <w:rPr>
          <w:bCs/>
        </w:rPr>
        <w:t>of stroke prevention</w:t>
      </w:r>
      <w:r w:rsidR="008E4FA5">
        <w:rPr>
          <w:bCs/>
        </w:rPr>
        <w:t>.</w:t>
      </w:r>
      <w:r w:rsidR="00A4034A" w:rsidRPr="00A4034A">
        <w:rPr>
          <w:bCs/>
          <w:vertAlign w:val="superscript"/>
        </w:rPr>
        <w:t>1</w:t>
      </w:r>
      <w:r w:rsidRPr="00A4034A">
        <w:rPr>
          <w:bCs/>
          <w:vertAlign w:val="superscript"/>
        </w:rPr>
        <w:t xml:space="preserve"> </w:t>
      </w:r>
      <w:r>
        <w:rPr>
          <w:bCs/>
        </w:rPr>
        <w:t xml:space="preserve"> </w:t>
      </w:r>
    </w:p>
    <w:p w14:paraId="2582C98E" w14:textId="77777777" w:rsidR="00650D12" w:rsidRPr="000465DE" w:rsidRDefault="00650D12">
      <w:pPr>
        <w:rPr>
          <w:b/>
          <w:bCs/>
        </w:rPr>
      </w:pPr>
    </w:p>
    <w:p w14:paraId="257B168B" w14:textId="77777777" w:rsidR="00171801" w:rsidRPr="00B777AF" w:rsidRDefault="00171801" w:rsidP="00170B14">
      <w:pPr>
        <w:rPr>
          <w:b/>
        </w:rPr>
      </w:pPr>
      <w:bookmarkStart w:id="1" w:name="Coding_Implications"/>
      <w:r w:rsidRPr="00B777AF">
        <w:rPr>
          <w:b/>
        </w:rPr>
        <w:t>Coding Implications</w:t>
      </w:r>
    </w:p>
    <w:bookmarkEnd w:id="1"/>
    <w:p w14:paraId="7E1C90AF" w14:textId="42D5E118" w:rsidR="00171801" w:rsidRDefault="00171801" w:rsidP="00AF5490">
      <w:r w:rsidRPr="00507DC0">
        <w:lastRenderedPageBreak/>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806C74">
        <w:t>2019</w:t>
      </w:r>
      <w:r w:rsidR="00F2015B">
        <w:t xml:space="preserve">, </w:t>
      </w:r>
      <w:r w:rsidRPr="00507DC0">
        <w:t>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28E780A3" w14:textId="77777777" w:rsidR="00171801" w:rsidRPr="00A85489" w:rsidRDefault="00171801"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9"/>
        <w:gridCol w:w="7815"/>
      </w:tblGrid>
      <w:tr w:rsidR="00171801" w:rsidRPr="00B777AF" w14:paraId="454395A4" w14:textId="77777777" w:rsidTr="00504F03">
        <w:trPr>
          <w:tblHeader/>
        </w:trPr>
        <w:tc>
          <w:tcPr>
            <w:tcW w:w="1138" w:type="dxa"/>
            <w:shd w:val="clear" w:color="auto" w:fill="00548C"/>
          </w:tcPr>
          <w:p w14:paraId="543EB8D1" w14:textId="77777777" w:rsidR="00171801" w:rsidRPr="00504F03" w:rsidRDefault="00171801" w:rsidP="00C10DF0">
            <w:pPr>
              <w:rPr>
                <w:b/>
                <w:bCs/>
                <w:color w:val="FFFFFF"/>
              </w:rPr>
            </w:pPr>
            <w:r w:rsidRPr="00504F03">
              <w:rPr>
                <w:b/>
                <w:color w:val="FFFFFF"/>
              </w:rPr>
              <w:t>CPT</w:t>
            </w:r>
            <w:r w:rsidRPr="00504F03">
              <w:rPr>
                <w:b/>
                <w:color w:val="FFFFFF"/>
                <w:vertAlign w:val="superscript"/>
              </w:rPr>
              <w:t>®</w:t>
            </w:r>
            <w:r w:rsidRPr="00504F03">
              <w:rPr>
                <w:b/>
                <w:color w:val="FFFFFF"/>
              </w:rPr>
              <w:t xml:space="preserve"> Codes </w:t>
            </w:r>
          </w:p>
        </w:tc>
        <w:tc>
          <w:tcPr>
            <w:tcW w:w="8510" w:type="dxa"/>
            <w:shd w:val="clear" w:color="auto" w:fill="00548C"/>
          </w:tcPr>
          <w:p w14:paraId="05450E55" w14:textId="77777777" w:rsidR="00171801" w:rsidRPr="00504F03" w:rsidRDefault="00171801" w:rsidP="00C10DF0">
            <w:pPr>
              <w:rPr>
                <w:b/>
                <w:bCs/>
                <w:color w:val="FFFFFF"/>
              </w:rPr>
            </w:pPr>
            <w:r w:rsidRPr="00504F03">
              <w:rPr>
                <w:b/>
                <w:color w:val="FFFFFF"/>
              </w:rPr>
              <w:t>Description</w:t>
            </w:r>
          </w:p>
        </w:tc>
      </w:tr>
      <w:tr w:rsidR="00171801" w:rsidRPr="005144C0" w14:paraId="1346DCBF" w14:textId="77777777" w:rsidTr="00504F03">
        <w:tc>
          <w:tcPr>
            <w:tcW w:w="1138" w:type="dxa"/>
          </w:tcPr>
          <w:p w14:paraId="4CD08859" w14:textId="77777777" w:rsidR="00171801" w:rsidRPr="00504F03" w:rsidRDefault="00F351D2" w:rsidP="00C10DF0">
            <w:pPr>
              <w:rPr>
                <w:bCs/>
              </w:rPr>
            </w:pPr>
            <w:r>
              <w:rPr>
                <w:bCs/>
              </w:rPr>
              <w:t>33340</w:t>
            </w:r>
          </w:p>
        </w:tc>
        <w:tc>
          <w:tcPr>
            <w:tcW w:w="8510" w:type="dxa"/>
          </w:tcPr>
          <w:p w14:paraId="770B9B04" w14:textId="77777777" w:rsidR="00171801" w:rsidRPr="00504F03" w:rsidRDefault="00F351D2" w:rsidP="00C10DF0">
            <w:pPr>
              <w:rPr>
                <w:bCs/>
              </w:rPr>
            </w:pPr>
            <w:r w:rsidRPr="00F351D2">
              <w:rPr>
                <w:bCs/>
              </w:rPr>
              <w:t>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tc>
      </w:tr>
    </w:tbl>
    <w:p w14:paraId="208F3B45" w14:textId="77777777" w:rsidR="00171801" w:rsidRDefault="00171801"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7"/>
        <w:gridCol w:w="7797"/>
      </w:tblGrid>
      <w:tr w:rsidR="00171801" w:rsidRPr="00B777AF" w14:paraId="6FEE142E" w14:textId="77777777" w:rsidTr="00504F03">
        <w:trPr>
          <w:tblHeader/>
        </w:trPr>
        <w:tc>
          <w:tcPr>
            <w:tcW w:w="1138" w:type="dxa"/>
            <w:shd w:val="clear" w:color="auto" w:fill="00548C"/>
          </w:tcPr>
          <w:p w14:paraId="31E17C2A" w14:textId="77777777" w:rsidR="00171801" w:rsidRPr="00504F03" w:rsidRDefault="00171801" w:rsidP="00556CBA">
            <w:pPr>
              <w:rPr>
                <w:b/>
                <w:bCs/>
                <w:color w:val="FFFFFF"/>
              </w:rPr>
            </w:pPr>
            <w:r w:rsidRPr="00504F03">
              <w:rPr>
                <w:b/>
                <w:color w:val="FFFFFF"/>
              </w:rPr>
              <w:t xml:space="preserve">HCPCS Codes </w:t>
            </w:r>
          </w:p>
        </w:tc>
        <w:tc>
          <w:tcPr>
            <w:tcW w:w="8510" w:type="dxa"/>
            <w:shd w:val="clear" w:color="auto" w:fill="00548C"/>
          </w:tcPr>
          <w:p w14:paraId="326536A5" w14:textId="77777777" w:rsidR="00171801" w:rsidRPr="00504F03" w:rsidRDefault="00171801" w:rsidP="00556CBA">
            <w:pPr>
              <w:rPr>
                <w:b/>
                <w:bCs/>
                <w:color w:val="FFFFFF"/>
              </w:rPr>
            </w:pPr>
            <w:r w:rsidRPr="00504F03">
              <w:rPr>
                <w:b/>
                <w:color w:val="FFFFFF"/>
              </w:rPr>
              <w:t>Description</w:t>
            </w:r>
          </w:p>
        </w:tc>
      </w:tr>
      <w:tr w:rsidR="00171801" w:rsidRPr="005144C0" w14:paraId="6DD39448" w14:textId="77777777" w:rsidTr="00504F03">
        <w:tc>
          <w:tcPr>
            <w:tcW w:w="1138" w:type="dxa"/>
          </w:tcPr>
          <w:p w14:paraId="1B892A6A" w14:textId="77777777" w:rsidR="00171801" w:rsidRPr="00504F03" w:rsidRDefault="007B0AF5" w:rsidP="00556CBA">
            <w:pPr>
              <w:rPr>
                <w:bCs/>
              </w:rPr>
            </w:pPr>
            <w:r>
              <w:rPr>
                <w:bCs/>
              </w:rPr>
              <w:t>N/A</w:t>
            </w:r>
          </w:p>
        </w:tc>
        <w:tc>
          <w:tcPr>
            <w:tcW w:w="8510" w:type="dxa"/>
          </w:tcPr>
          <w:p w14:paraId="782CE82A" w14:textId="77777777" w:rsidR="00171801" w:rsidRPr="00504F03" w:rsidRDefault="00171801" w:rsidP="00556CBA">
            <w:pPr>
              <w:rPr>
                <w:bCs/>
              </w:rPr>
            </w:pPr>
          </w:p>
        </w:tc>
      </w:tr>
    </w:tbl>
    <w:p w14:paraId="68EC8644" w14:textId="77777777" w:rsidR="00171801" w:rsidRDefault="00171801" w:rsidP="00AF5490"/>
    <w:p w14:paraId="54E7BF23" w14:textId="77777777" w:rsidR="00171801" w:rsidRPr="00350F22" w:rsidRDefault="00171801" w:rsidP="00AF5490">
      <w:pPr>
        <w:rPr>
          <w:b/>
        </w:rPr>
      </w:pPr>
      <w:r w:rsidRPr="00350F22">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13"/>
        <w:gridCol w:w="7311"/>
      </w:tblGrid>
      <w:tr w:rsidR="00171801" w:rsidRPr="00B777AF" w14:paraId="47AD0029" w14:textId="77777777" w:rsidTr="00504F03">
        <w:trPr>
          <w:tblHeader/>
        </w:trPr>
        <w:tc>
          <w:tcPr>
            <w:tcW w:w="1638" w:type="dxa"/>
            <w:shd w:val="clear" w:color="auto" w:fill="00548C"/>
          </w:tcPr>
          <w:p w14:paraId="599C72C9" w14:textId="77777777" w:rsidR="00171801" w:rsidRPr="00504F03" w:rsidRDefault="00171801" w:rsidP="00350F22">
            <w:pPr>
              <w:rPr>
                <w:b/>
                <w:bCs/>
                <w:color w:val="FFFFFF"/>
              </w:rPr>
            </w:pPr>
            <w:r w:rsidRPr="00504F03">
              <w:rPr>
                <w:b/>
                <w:color w:val="FFFFFF"/>
              </w:rPr>
              <w:t>ICD-10-CM Code</w:t>
            </w:r>
          </w:p>
        </w:tc>
        <w:tc>
          <w:tcPr>
            <w:tcW w:w="7501" w:type="dxa"/>
            <w:shd w:val="clear" w:color="auto" w:fill="00548C"/>
          </w:tcPr>
          <w:p w14:paraId="61EC7763" w14:textId="77777777" w:rsidR="00171801" w:rsidRPr="00504F03" w:rsidRDefault="00171801" w:rsidP="00F91367">
            <w:pPr>
              <w:rPr>
                <w:b/>
                <w:bCs/>
                <w:color w:val="FFFFFF"/>
              </w:rPr>
            </w:pPr>
            <w:r w:rsidRPr="00504F03">
              <w:rPr>
                <w:b/>
                <w:color w:val="FFFFFF"/>
              </w:rPr>
              <w:t>Description</w:t>
            </w:r>
          </w:p>
        </w:tc>
      </w:tr>
      <w:tr w:rsidR="00171801" w:rsidRPr="005144C0" w14:paraId="2FBE0B6A" w14:textId="77777777" w:rsidTr="00504F03">
        <w:tc>
          <w:tcPr>
            <w:tcW w:w="1638" w:type="dxa"/>
          </w:tcPr>
          <w:p w14:paraId="52EBEDA6" w14:textId="22294045" w:rsidR="00171801" w:rsidRPr="00504F03" w:rsidRDefault="00731281" w:rsidP="00572668">
            <w:pPr>
              <w:rPr>
                <w:bCs/>
              </w:rPr>
            </w:pPr>
            <w:r>
              <w:rPr>
                <w:bCs/>
              </w:rPr>
              <w:t>I4</w:t>
            </w:r>
            <w:r w:rsidR="00572668">
              <w:rPr>
                <w:bCs/>
              </w:rPr>
              <w:t>8</w:t>
            </w:r>
            <w:r>
              <w:rPr>
                <w:bCs/>
              </w:rPr>
              <w:t>.1</w:t>
            </w:r>
          </w:p>
        </w:tc>
        <w:tc>
          <w:tcPr>
            <w:tcW w:w="7501" w:type="dxa"/>
          </w:tcPr>
          <w:p w14:paraId="4008E175" w14:textId="77777777" w:rsidR="00171801" w:rsidRPr="00504F03" w:rsidRDefault="00F55E9D" w:rsidP="00F91367">
            <w:pPr>
              <w:rPr>
                <w:bCs/>
              </w:rPr>
            </w:pPr>
            <w:r w:rsidRPr="00F55E9D">
              <w:rPr>
                <w:bCs/>
              </w:rPr>
              <w:t>Persistent atrial fibrillation</w:t>
            </w:r>
          </w:p>
        </w:tc>
      </w:tr>
      <w:tr w:rsidR="00731281" w:rsidRPr="005144C0" w14:paraId="559D4262" w14:textId="77777777" w:rsidTr="00504F03">
        <w:tc>
          <w:tcPr>
            <w:tcW w:w="1638" w:type="dxa"/>
          </w:tcPr>
          <w:p w14:paraId="28C8A70B" w14:textId="239355C9" w:rsidR="00731281" w:rsidRDefault="00731281" w:rsidP="00572668">
            <w:pPr>
              <w:rPr>
                <w:bCs/>
              </w:rPr>
            </w:pPr>
            <w:r>
              <w:rPr>
                <w:bCs/>
              </w:rPr>
              <w:t>I4</w:t>
            </w:r>
            <w:r w:rsidR="00572668">
              <w:rPr>
                <w:bCs/>
              </w:rPr>
              <w:t>8</w:t>
            </w:r>
            <w:r>
              <w:rPr>
                <w:bCs/>
              </w:rPr>
              <w:t>.2</w:t>
            </w:r>
          </w:p>
        </w:tc>
        <w:tc>
          <w:tcPr>
            <w:tcW w:w="7501" w:type="dxa"/>
          </w:tcPr>
          <w:p w14:paraId="34BD1A0D" w14:textId="77777777" w:rsidR="00731281" w:rsidRPr="00504F03" w:rsidRDefault="00F55E9D" w:rsidP="00F91367">
            <w:pPr>
              <w:rPr>
                <w:bCs/>
              </w:rPr>
            </w:pPr>
            <w:r w:rsidRPr="00F55E9D">
              <w:rPr>
                <w:bCs/>
              </w:rPr>
              <w:t>Chronic atrial fibrillation</w:t>
            </w:r>
          </w:p>
        </w:tc>
      </w:tr>
      <w:tr w:rsidR="00731281" w:rsidRPr="005144C0" w14:paraId="5403EEC1" w14:textId="77777777" w:rsidTr="00504F03">
        <w:tc>
          <w:tcPr>
            <w:tcW w:w="1638" w:type="dxa"/>
          </w:tcPr>
          <w:p w14:paraId="0D088564" w14:textId="77777777" w:rsidR="00731281" w:rsidRDefault="00731281" w:rsidP="00F91367">
            <w:pPr>
              <w:rPr>
                <w:bCs/>
              </w:rPr>
            </w:pPr>
            <w:r>
              <w:rPr>
                <w:bCs/>
              </w:rPr>
              <w:t>I48.91</w:t>
            </w:r>
          </w:p>
        </w:tc>
        <w:tc>
          <w:tcPr>
            <w:tcW w:w="7501" w:type="dxa"/>
          </w:tcPr>
          <w:p w14:paraId="1AF2145D" w14:textId="77777777" w:rsidR="00731281" w:rsidRPr="00504F03" w:rsidRDefault="00F55E9D" w:rsidP="00F91367">
            <w:pPr>
              <w:rPr>
                <w:bCs/>
              </w:rPr>
            </w:pPr>
            <w:r w:rsidRPr="00F55E9D">
              <w:rPr>
                <w:bCs/>
              </w:rPr>
              <w:t>Unspecified atrial fibrillation</w:t>
            </w:r>
          </w:p>
        </w:tc>
      </w:tr>
    </w:tbl>
    <w:p w14:paraId="35EB3A14" w14:textId="77777777" w:rsidR="00171801" w:rsidRDefault="00171801"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171801" w:rsidRPr="00B777AF" w14:paraId="7D4A64AC" w14:textId="77777777" w:rsidTr="00504F03">
        <w:trPr>
          <w:tblHeader/>
        </w:trPr>
        <w:tc>
          <w:tcPr>
            <w:tcW w:w="7578" w:type="dxa"/>
            <w:tcBorders>
              <w:top w:val="single" w:sz="8" w:space="0" w:color="4F81BD"/>
            </w:tcBorders>
            <w:shd w:val="clear" w:color="auto" w:fill="00548C"/>
          </w:tcPr>
          <w:p w14:paraId="1C1FF48C" w14:textId="77777777" w:rsidR="00171801" w:rsidRPr="00504F03" w:rsidRDefault="00171801" w:rsidP="00B777AF">
            <w:pPr>
              <w:rPr>
                <w:b/>
                <w:bCs/>
                <w:color w:val="FFFFFF"/>
              </w:rPr>
            </w:pPr>
            <w:bookmarkStart w:id="2" w:name="Revision_Log"/>
            <w:r w:rsidRPr="00504F03">
              <w:rPr>
                <w:b/>
                <w:color w:val="FFFFFF"/>
              </w:rPr>
              <w:t>Reviews, Revisions, and Approvals</w:t>
            </w:r>
            <w:bookmarkEnd w:id="2"/>
          </w:p>
        </w:tc>
        <w:tc>
          <w:tcPr>
            <w:tcW w:w="810" w:type="dxa"/>
            <w:shd w:val="clear" w:color="auto" w:fill="00548C"/>
          </w:tcPr>
          <w:p w14:paraId="10F56C30" w14:textId="77777777" w:rsidR="00171801" w:rsidRPr="00504F03" w:rsidRDefault="00171801" w:rsidP="00504F03">
            <w:pPr>
              <w:jc w:val="center"/>
              <w:rPr>
                <w:b/>
                <w:bCs/>
                <w:color w:val="FFFFFF"/>
              </w:rPr>
            </w:pPr>
            <w:r w:rsidRPr="00504F03">
              <w:rPr>
                <w:b/>
                <w:color w:val="FFFFFF"/>
              </w:rPr>
              <w:t>Date</w:t>
            </w:r>
          </w:p>
        </w:tc>
        <w:tc>
          <w:tcPr>
            <w:tcW w:w="1260" w:type="dxa"/>
            <w:tcBorders>
              <w:top w:val="single" w:sz="8" w:space="0" w:color="4F81BD"/>
            </w:tcBorders>
            <w:shd w:val="clear" w:color="auto" w:fill="00548C"/>
          </w:tcPr>
          <w:p w14:paraId="3244324C" w14:textId="77777777" w:rsidR="00171801" w:rsidRPr="00504F03" w:rsidRDefault="00171801" w:rsidP="00504F03">
            <w:pPr>
              <w:jc w:val="center"/>
              <w:rPr>
                <w:b/>
                <w:bCs/>
                <w:color w:val="FFFFFF"/>
              </w:rPr>
            </w:pPr>
            <w:r w:rsidRPr="00504F03">
              <w:rPr>
                <w:b/>
                <w:color w:val="FFFFFF"/>
              </w:rPr>
              <w:t>Approval Date</w:t>
            </w:r>
          </w:p>
        </w:tc>
      </w:tr>
      <w:tr w:rsidR="00171801" w14:paraId="429951D3" w14:textId="77777777" w:rsidTr="00504F03">
        <w:tc>
          <w:tcPr>
            <w:tcW w:w="7578" w:type="dxa"/>
          </w:tcPr>
          <w:p w14:paraId="2A051D3C" w14:textId="77777777" w:rsidR="00171801" w:rsidRDefault="00F351D2" w:rsidP="00F2015B">
            <w:pPr>
              <w:tabs>
                <w:tab w:val="num" w:pos="720"/>
              </w:tabs>
            </w:pPr>
            <w:r w:rsidRPr="00F351D2">
              <w:t>Policy adopted from Health Net NMP</w:t>
            </w:r>
            <w:r w:rsidR="00973A35">
              <w:t xml:space="preserve"> </w:t>
            </w:r>
            <w:r>
              <w:t xml:space="preserve">376, </w:t>
            </w:r>
            <w:r w:rsidRPr="00F351D2">
              <w:t xml:space="preserve">Left Atrial Appendage Devices </w:t>
            </w:r>
          </w:p>
        </w:tc>
        <w:tc>
          <w:tcPr>
            <w:tcW w:w="810" w:type="dxa"/>
          </w:tcPr>
          <w:p w14:paraId="213F5F4A" w14:textId="77777777" w:rsidR="00171801" w:rsidRDefault="00F41C82" w:rsidP="00F41C82">
            <w:pPr>
              <w:jc w:val="center"/>
            </w:pPr>
            <w:r>
              <w:t>06/</w:t>
            </w:r>
            <w:r w:rsidR="00F351D2">
              <w:t>17</w:t>
            </w:r>
          </w:p>
        </w:tc>
        <w:tc>
          <w:tcPr>
            <w:tcW w:w="1260" w:type="dxa"/>
          </w:tcPr>
          <w:p w14:paraId="17376138" w14:textId="77777777" w:rsidR="00171801" w:rsidRDefault="006E58E0" w:rsidP="00504F03">
            <w:pPr>
              <w:jc w:val="center"/>
            </w:pPr>
            <w:r>
              <w:t>07/17</w:t>
            </w:r>
          </w:p>
        </w:tc>
      </w:tr>
      <w:tr w:rsidR="0006394A" w14:paraId="5AC16562" w14:textId="77777777" w:rsidTr="00504F03">
        <w:tc>
          <w:tcPr>
            <w:tcW w:w="7578" w:type="dxa"/>
          </w:tcPr>
          <w:p w14:paraId="2CEDA29B" w14:textId="22DB488A" w:rsidR="0006394A" w:rsidRDefault="004C27D7" w:rsidP="004C27D7">
            <w:pPr>
              <w:tabs>
                <w:tab w:val="num" w:pos="720"/>
              </w:tabs>
            </w:pPr>
            <w:r>
              <w:t xml:space="preserve">Clarified in I.A and I.B that </w:t>
            </w:r>
            <w:r w:rsidR="00713490">
              <w:t xml:space="preserve">the </w:t>
            </w:r>
            <w:r w:rsidRPr="004C27D7">
              <w:t xml:space="preserve">anticoagulation therapy </w:t>
            </w:r>
            <w:r w:rsidR="00713490">
              <w:t>recommended is for “long-term” use.</w:t>
            </w:r>
            <w:r>
              <w:t xml:space="preserve"> </w:t>
            </w:r>
          </w:p>
          <w:p w14:paraId="466B3994" w14:textId="7BC41598" w:rsidR="004C27D7" w:rsidRDefault="00236C6C" w:rsidP="004C27D7">
            <w:pPr>
              <w:tabs>
                <w:tab w:val="num" w:pos="720"/>
              </w:tabs>
            </w:pPr>
            <w:r>
              <w:t xml:space="preserve">Updated </w:t>
            </w:r>
            <w:r w:rsidR="004C27D7">
              <w:t xml:space="preserve">background information </w:t>
            </w:r>
            <w:r>
              <w:t xml:space="preserve">to include possible complication </w:t>
            </w:r>
            <w:r w:rsidR="0079587D">
              <w:t>associated</w:t>
            </w:r>
            <w:r>
              <w:t xml:space="preserve"> with the device.  Revised information u</w:t>
            </w:r>
            <w:r w:rsidR="004C27D7">
              <w:t>nder section “</w:t>
            </w:r>
            <w:r w:rsidR="004C27D7" w:rsidRPr="004C27D7">
              <w:t>A</w:t>
            </w:r>
            <w:r w:rsidR="004C27D7">
              <w:t>HA/ACC/HRS”</w:t>
            </w:r>
            <w:r>
              <w:t xml:space="preserve"> for clarification purposes.  </w:t>
            </w:r>
          </w:p>
          <w:p w14:paraId="0EE4D323" w14:textId="648DF96B" w:rsidR="004C27D7" w:rsidRPr="00F351D2" w:rsidRDefault="004C27D7" w:rsidP="004C27D7">
            <w:pPr>
              <w:tabs>
                <w:tab w:val="num" w:pos="720"/>
              </w:tabs>
            </w:pPr>
            <w:r>
              <w:t>References reviewed and updated.</w:t>
            </w:r>
          </w:p>
        </w:tc>
        <w:tc>
          <w:tcPr>
            <w:tcW w:w="810" w:type="dxa"/>
          </w:tcPr>
          <w:p w14:paraId="7B84A420" w14:textId="6CAD8076" w:rsidR="0006394A" w:rsidRDefault="004C27D7" w:rsidP="00F41C82">
            <w:pPr>
              <w:jc w:val="center"/>
            </w:pPr>
            <w:r>
              <w:t>05/18</w:t>
            </w:r>
          </w:p>
        </w:tc>
        <w:tc>
          <w:tcPr>
            <w:tcW w:w="1260" w:type="dxa"/>
          </w:tcPr>
          <w:p w14:paraId="2A996B98" w14:textId="752E12EF" w:rsidR="0006394A" w:rsidRDefault="00BB00F8" w:rsidP="00504F03">
            <w:pPr>
              <w:jc w:val="center"/>
            </w:pPr>
            <w:r>
              <w:t>05/18</w:t>
            </w:r>
          </w:p>
        </w:tc>
      </w:tr>
      <w:tr w:rsidR="00806C74" w14:paraId="3D97EA35" w14:textId="77777777" w:rsidTr="00504F03">
        <w:tc>
          <w:tcPr>
            <w:tcW w:w="7578" w:type="dxa"/>
          </w:tcPr>
          <w:p w14:paraId="1A860770" w14:textId="4857627B" w:rsidR="00806C74" w:rsidRDefault="00806C74" w:rsidP="004C27D7">
            <w:pPr>
              <w:tabs>
                <w:tab w:val="num" w:pos="720"/>
              </w:tabs>
            </w:pPr>
            <w:r>
              <w:t>References review</w:t>
            </w:r>
            <w:r w:rsidR="00AC5B44">
              <w:t>ed</w:t>
            </w:r>
            <w:r>
              <w:t xml:space="preserve"> and updated.</w:t>
            </w:r>
            <w:r w:rsidR="00EC6EFD">
              <w:t xml:space="preserve">  Coding reviewed.  </w:t>
            </w:r>
          </w:p>
        </w:tc>
        <w:tc>
          <w:tcPr>
            <w:tcW w:w="810" w:type="dxa"/>
          </w:tcPr>
          <w:p w14:paraId="22D8037E" w14:textId="70C8C942" w:rsidR="00806C74" w:rsidRDefault="00806C74" w:rsidP="00F41C82">
            <w:pPr>
              <w:jc w:val="center"/>
            </w:pPr>
            <w:r>
              <w:t>04/19</w:t>
            </w:r>
          </w:p>
        </w:tc>
        <w:tc>
          <w:tcPr>
            <w:tcW w:w="1260" w:type="dxa"/>
          </w:tcPr>
          <w:p w14:paraId="540ACE44" w14:textId="1B016418" w:rsidR="00806C74" w:rsidRDefault="00C04066" w:rsidP="00504F03">
            <w:pPr>
              <w:jc w:val="center"/>
            </w:pPr>
            <w:r>
              <w:t>05/19</w:t>
            </w:r>
          </w:p>
        </w:tc>
      </w:tr>
    </w:tbl>
    <w:p w14:paraId="485B3F29" w14:textId="77777777" w:rsidR="00171801" w:rsidRDefault="00171801" w:rsidP="00B777AF">
      <w:pPr>
        <w:pStyle w:val="Heading6"/>
        <w:tabs>
          <w:tab w:val="clear" w:pos="0"/>
        </w:tabs>
      </w:pPr>
    </w:p>
    <w:p w14:paraId="6F92EA93" w14:textId="77777777" w:rsidR="00171801" w:rsidRPr="00B777AF" w:rsidRDefault="00171801" w:rsidP="00963062">
      <w:pPr>
        <w:pStyle w:val="Heading3"/>
      </w:pPr>
      <w:r>
        <w:t>References</w:t>
      </w:r>
    </w:p>
    <w:p w14:paraId="723DEBB5" w14:textId="046E20C1" w:rsidR="00651B56" w:rsidRDefault="00651B56" w:rsidP="007B3C0F">
      <w:pPr>
        <w:numPr>
          <w:ilvl w:val="0"/>
          <w:numId w:val="21"/>
        </w:numPr>
      </w:pPr>
      <w:r w:rsidRPr="00651B56">
        <w:t xml:space="preserve">January CT, Wann LS, Alpert JS, et al. </w:t>
      </w:r>
      <w:r w:rsidR="009E6B9D">
        <w:t xml:space="preserve">2019 AHA/ACC/HRS Focused Update of the </w:t>
      </w:r>
      <w:r w:rsidRPr="00651B56">
        <w:t xml:space="preserve">2014 AHA/ACC/HRS </w:t>
      </w:r>
      <w:r w:rsidR="009E6B9D">
        <w:t>G</w:t>
      </w:r>
      <w:r w:rsidRPr="00651B56">
        <w:t xml:space="preserve">uideline for the </w:t>
      </w:r>
      <w:r w:rsidR="009E6B9D">
        <w:t>M</w:t>
      </w:r>
      <w:r w:rsidRPr="00651B56">
        <w:t xml:space="preserve">anagement of </w:t>
      </w:r>
      <w:r w:rsidR="009E6B9D">
        <w:t>P</w:t>
      </w:r>
      <w:r w:rsidRPr="00651B56">
        <w:t xml:space="preserve">atients </w:t>
      </w:r>
      <w:r w:rsidR="009E6B9D">
        <w:t>W</w:t>
      </w:r>
      <w:r w:rsidRPr="00651B56">
        <w:t xml:space="preserve">ith </w:t>
      </w:r>
      <w:r w:rsidR="009E6B9D">
        <w:t>A</w:t>
      </w:r>
      <w:r w:rsidRPr="00651B56">
        <w:t xml:space="preserve">trial </w:t>
      </w:r>
      <w:r w:rsidR="009E6B9D">
        <w:t>F</w:t>
      </w:r>
      <w:r w:rsidRPr="00651B56">
        <w:t xml:space="preserve">ibrillation: </w:t>
      </w:r>
      <w:r w:rsidR="009E6B9D">
        <w:t>A</w:t>
      </w:r>
      <w:r w:rsidRPr="00651B56">
        <w:t xml:space="preserve"> </w:t>
      </w:r>
      <w:r w:rsidR="009E6B9D">
        <w:t>R</w:t>
      </w:r>
      <w:r w:rsidRPr="00651B56">
        <w:t xml:space="preserve">eport of the American College of Cardiology/American Heart Association Task Force on </w:t>
      </w:r>
      <w:r w:rsidR="009E6B9D">
        <w:t>Clinical P</w:t>
      </w:r>
      <w:r w:rsidRPr="00651B56">
        <w:t xml:space="preserve">ractice </w:t>
      </w:r>
      <w:r w:rsidR="009E6B9D">
        <w:t>G</w:t>
      </w:r>
      <w:r w:rsidRPr="00651B56">
        <w:t>uidelines and the Heart Rhythm Society. Circulation</w:t>
      </w:r>
      <w:r w:rsidR="009E6B9D">
        <w:t xml:space="preserve"> 2019 Jan 28</w:t>
      </w:r>
      <w:r w:rsidRPr="00651B56">
        <w:t xml:space="preserve">  </w:t>
      </w:r>
      <w:r w:rsidR="004E1481">
        <w:rPr>
          <w:rStyle w:val="Hyperlink"/>
        </w:rPr>
        <w:t xml:space="preserve">  </w:t>
      </w:r>
    </w:p>
    <w:p w14:paraId="4C886495" w14:textId="1DD36009" w:rsidR="00171801" w:rsidRPr="00870AEE" w:rsidRDefault="0013230A" w:rsidP="0013230A">
      <w:pPr>
        <w:pStyle w:val="ListParagraph"/>
        <w:numPr>
          <w:ilvl w:val="0"/>
          <w:numId w:val="21"/>
        </w:numPr>
        <w:tabs>
          <w:tab w:val="left" w:pos="360"/>
        </w:tabs>
        <w:rPr>
          <w:rStyle w:val="Hyperlink"/>
          <w:color w:val="auto"/>
          <w:u w:val="none"/>
        </w:rPr>
      </w:pPr>
      <w:r>
        <w:t>Masoudi</w:t>
      </w:r>
      <w:r w:rsidR="003873EE">
        <w:t xml:space="preserve"> </w:t>
      </w:r>
      <w:r w:rsidR="00FE0449">
        <w:t>FA</w:t>
      </w:r>
      <w:r w:rsidR="003873EE">
        <w:t xml:space="preserve">, Calkins H, Kavinsky CJ, et al.  </w:t>
      </w:r>
      <w:r w:rsidR="003873EE" w:rsidRPr="003873EE">
        <w:t xml:space="preserve">2015 ACC/HRS/SCAI Left Atrial Appendage Occlusion Device </w:t>
      </w:r>
      <w:r w:rsidRPr="0013230A">
        <w:t>Societal Overview</w:t>
      </w:r>
      <w:r>
        <w:t xml:space="preserve">. </w:t>
      </w:r>
      <w:r w:rsidRPr="0013230A">
        <w:t>Heart Rhythm. 2015 Oct;12(10):e122-36</w:t>
      </w:r>
      <w:r>
        <w:t>.</w:t>
      </w:r>
      <w:r w:rsidR="00CE5D46">
        <w:rPr>
          <w:rStyle w:val="Hyperlink"/>
        </w:rPr>
        <w:t xml:space="preserve">  </w:t>
      </w:r>
    </w:p>
    <w:p w14:paraId="27877C46" w14:textId="27C80A1E" w:rsidR="00870AEE" w:rsidRDefault="00870AEE" w:rsidP="007B3C0F">
      <w:pPr>
        <w:pStyle w:val="ListParagraph"/>
        <w:numPr>
          <w:ilvl w:val="0"/>
          <w:numId w:val="21"/>
        </w:numPr>
        <w:rPr>
          <w:rStyle w:val="Hyperlink"/>
          <w:color w:val="auto"/>
          <w:u w:val="none"/>
        </w:rPr>
      </w:pPr>
      <w:r w:rsidRPr="00870AEE">
        <w:rPr>
          <w:rStyle w:val="Hyperlink"/>
          <w:color w:val="auto"/>
          <w:u w:val="none"/>
        </w:rPr>
        <w:t>Reddy VY, Doshi SK, Siever H, et al. Percutaneous left atrial appendage closure for stroke prophylaxis in patients with atrial fibrillation: 2.3 year follow-up of the PROTECT AF Trial (Watchman left atrial appendage system for embolic protection in patients with atrial fibrillation) trial. Circulation 2013;127:720–9.</w:t>
      </w:r>
    </w:p>
    <w:p w14:paraId="13B76299" w14:textId="27153969" w:rsidR="00870AEE" w:rsidRDefault="00870AEE" w:rsidP="007B3C0F">
      <w:pPr>
        <w:pStyle w:val="ListParagraph"/>
        <w:numPr>
          <w:ilvl w:val="0"/>
          <w:numId w:val="21"/>
        </w:numPr>
        <w:rPr>
          <w:rStyle w:val="Hyperlink"/>
          <w:color w:val="auto"/>
          <w:u w:val="none"/>
        </w:rPr>
      </w:pPr>
      <w:r w:rsidRPr="00870AEE">
        <w:rPr>
          <w:rStyle w:val="Hyperlink"/>
          <w:color w:val="auto"/>
          <w:u w:val="none"/>
        </w:rPr>
        <w:t>Reddy VY, Mobius-Winkler S, Miller MA, et al. Left atrial appendage closure with the Watchman device in patients with a contraindication for oral anticoagulation: the ASAP study (ASA Plavix Feasibility Study With Watchman Left Atrial Appendage Closure Technology). J Am Coll Cardiol 2013;61:2551–6.</w:t>
      </w:r>
      <w:r w:rsidR="00BE66C0">
        <w:rPr>
          <w:rStyle w:val="Hyperlink"/>
          <w:color w:val="auto"/>
          <w:u w:val="none"/>
        </w:rPr>
        <w:t xml:space="preserve"> </w:t>
      </w:r>
    </w:p>
    <w:p w14:paraId="7D4E40E6" w14:textId="4F80FBDB" w:rsidR="007B3C0F" w:rsidRPr="007B3C0F" w:rsidRDefault="007B3C0F" w:rsidP="007B3C0F">
      <w:pPr>
        <w:numPr>
          <w:ilvl w:val="0"/>
          <w:numId w:val="21"/>
        </w:numPr>
        <w:rPr>
          <w:rStyle w:val="Hyperlink"/>
          <w:color w:val="auto"/>
          <w:u w:val="none"/>
        </w:rPr>
      </w:pPr>
      <w:r w:rsidRPr="007B3C0F">
        <w:rPr>
          <w:rStyle w:val="Hyperlink"/>
          <w:color w:val="auto"/>
          <w:u w:val="none"/>
        </w:rPr>
        <w:t>Alli O, Doshi S, Kar S, et al.  Quality of life assessment in the randomized PROTECT AF (Percutaneous Closure of the Left Atrial Appendage Versus Warfarin Therapy for Prevention of Stroke in Patients With Atrial Fibrillation) trial of patients at risk for stroke with nonvalvular atrial fibrillation.  J Am Coll Cardiol. 2013 Apr 30;61(17):1790-8.</w:t>
      </w:r>
      <w:r w:rsidR="00B81030">
        <w:rPr>
          <w:rStyle w:val="Hyperlink"/>
          <w:color w:val="auto"/>
          <w:u w:val="none"/>
        </w:rPr>
        <w:t xml:space="preserve">  </w:t>
      </w:r>
    </w:p>
    <w:p w14:paraId="6E80421F" w14:textId="667B09CE" w:rsidR="00650D12" w:rsidRDefault="00650D12" w:rsidP="007B3C0F">
      <w:pPr>
        <w:pStyle w:val="ListParagraph"/>
        <w:numPr>
          <w:ilvl w:val="0"/>
          <w:numId w:val="21"/>
        </w:numPr>
      </w:pPr>
      <w:r>
        <w:t xml:space="preserve">National Institute for Health and Clinical Evidence (NICE). Percutaneous occlusion of the left atrial appendage in non-valvular atrial fibrillation for the prevention of thromboembolism. </w:t>
      </w:r>
      <w:r w:rsidR="00EB6568" w:rsidRPr="00EB6568">
        <w:t xml:space="preserve">Interventional procedures guidance </w:t>
      </w:r>
      <w:r w:rsidR="00EB6568">
        <w:t>(</w:t>
      </w:r>
      <w:r w:rsidR="00EB6568" w:rsidRPr="00EB6568">
        <w:t>IPG349</w:t>
      </w:r>
      <w:r w:rsidR="00EB6568">
        <w:t>) June 2010</w:t>
      </w:r>
      <w:r w:rsidR="00B81030">
        <w:rPr>
          <w:rStyle w:val="Hyperlink"/>
        </w:rPr>
        <w:t xml:space="preserve">  </w:t>
      </w:r>
    </w:p>
    <w:p w14:paraId="49758AB5" w14:textId="7E2F7E22" w:rsidR="00EB6568" w:rsidRDefault="00D746CF" w:rsidP="007B3C0F">
      <w:pPr>
        <w:pStyle w:val="ListParagraph"/>
        <w:numPr>
          <w:ilvl w:val="0"/>
          <w:numId w:val="21"/>
        </w:numPr>
      </w:pPr>
      <w:r>
        <w:t>U</w:t>
      </w:r>
      <w:r w:rsidR="0070494B">
        <w:t>.S.</w:t>
      </w:r>
      <w:r w:rsidR="00F2015B">
        <w:t xml:space="preserve"> </w:t>
      </w:r>
      <w:r>
        <w:t xml:space="preserve">Food and Drug Administration.  </w:t>
      </w:r>
      <w:r w:rsidRPr="00D746CF">
        <w:t>S</w:t>
      </w:r>
      <w:r>
        <w:t xml:space="preserve">ummary and Safety and Effectiveness Data.  </w:t>
      </w:r>
      <w:r w:rsidRPr="00D746CF">
        <w:t>WATCHMAN LAA Closure Technology</w:t>
      </w:r>
      <w:r>
        <w:t xml:space="preserve">.  Mar 2015. </w:t>
      </w:r>
    </w:p>
    <w:p w14:paraId="3D572DE0" w14:textId="435B98F0" w:rsidR="00D746CF" w:rsidRDefault="0070494B" w:rsidP="009E6B9D">
      <w:pPr>
        <w:pStyle w:val="ListParagraph"/>
        <w:numPr>
          <w:ilvl w:val="0"/>
          <w:numId w:val="21"/>
        </w:numPr>
      </w:pPr>
      <w:r w:rsidRPr="0070494B">
        <w:t>Kirchhof P, Benussi S, Kotecha D</w:t>
      </w:r>
      <w:r>
        <w:t xml:space="preserve">, et al. </w:t>
      </w:r>
      <w:r w:rsidRPr="0070494B">
        <w:t>2016 ESC Guidelines for the Management of Atrial Fibrillation Developed in Collaboration With EACTS.</w:t>
      </w:r>
      <w:r>
        <w:t xml:space="preserve">   </w:t>
      </w:r>
      <w:r w:rsidRPr="0070494B">
        <w:t>Rev Esp Cardiol (Engl Ed). 2017 Jan;70(1):50</w:t>
      </w:r>
      <w:r w:rsidR="00B339F8">
        <w:t xml:space="preserve">  </w:t>
      </w:r>
    </w:p>
    <w:p w14:paraId="781D5C89" w14:textId="77777777" w:rsidR="00151DE0" w:rsidRDefault="00EA547C" w:rsidP="00593E14">
      <w:pPr>
        <w:pStyle w:val="ListParagraph"/>
        <w:numPr>
          <w:ilvl w:val="0"/>
          <w:numId w:val="21"/>
        </w:numPr>
      </w:pPr>
      <w:r w:rsidRPr="00EA547C">
        <w:t>Reddy VY, Holmes D, Doshi SK, Neuzil P, Kar S. Safety of percutaneous left atrial appendage closure: results from the Watchman Left Atrial Appendage System for Embolic Protection in Patients with AF (PROTECT AF) clinical trial and the Continued Access Registry. Circulation 2011;123:417-24.</w:t>
      </w:r>
    </w:p>
    <w:p w14:paraId="1973F70C" w14:textId="77777777" w:rsidR="00EA547C" w:rsidRDefault="00EA547C" w:rsidP="007B3C0F">
      <w:pPr>
        <w:pStyle w:val="ListParagraph"/>
        <w:numPr>
          <w:ilvl w:val="0"/>
          <w:numId w:val="21"/>
        </w:numPr>
      </w:pPr>
      <w:r w:rsidRPr="00EA547C">
        <w:lastRenderedPageBreak/>
        <w:t>Sahay S, Nombela-Franco L, Rodes-Cabau J</w:t>
      </w:r>
      <w:r>
        <w:t xml:space="preserve">, et al.  </w:t>
      </w:r>
      <w:r w:rsidRPr="00EA547C">
        <w:t>Efficacy and safety of left atrial appendage closure versus medical treatment in atrial fibrillation: a network meta-analysis from randomised trials.</w:t>
      </w:r>
      <w:r>
        <w:t xml:space="preserve">  </w:t>
      </w:r>
      <w:r w:rsidRPr="00EA547C">
        <w:t>Heart. 2017 Jan 15;103(2):139-147</w:t>
      </w:r>
    </w:p>
    <w:p w14:paraId="10D943D4" w14:textId="2C0719F6" w:rsidR="00EA547C" w:rsidRDefault="00EA547C" w:rsidP="007B3C0F">
      <w:pPr>
        <w:pStyle w:val="ListParagraph"/>
        <w:numPr>
          <w:ilvl w:val="0"/>
          <w:numId w:val="21"/>
        </w:numPr>
      </w:pPr>
      <w:r w:rsidRPr="00EA547C">
        <w:t>Belgaid DR, Khan Z, Zaidi M, Hobbs A.</w:t>
      </w:r>
      <w:r>
        <w:t xml:space="preserve">  </w:t>
      </w:r>
      <w:r w:rsidRPr="00EA547C">
        <w:t>Prospective randomized evaluation of the watchman left atrial appendage closure device in patients with atrial fibrillation versus long-term warfarin therapy: The PREVAIL trial.</w:t>
      </w:r>
      <w:r>
        <w:t xml:space="preserve">  </w:t>
      </w:r>
      <w:r w:rsidRPr="00EA547C">
        <w:t xml:space="preserve">Int J Cardiol. </w:t>
      </w:r>
      <w:r w:rsidR="00855C36" w:rsidRPr="00EA547C">
        <w:t>201</w:t>
      </w:r>
      <w:r w:rsidR="00855C36">
        <w:t>4</w:t>
      </w:r>
      <w:r w:rsidR="00855C36" w:rsidRPr="00EA547C">
        <w:t xml:space="preserve"> </w:t>
      </w:r>
      <w:r w:rsidRPr="00EA547C">
        <w:t>Sep 15;219:177-9.</w:t>
      </w:r>
    </w:p>
    <w:p w14:paraId="7A0BE5E4" w14:textId="77777777" w:rsidR="00EA547C" w:rsidRDefault="00EA547C" w:rsidP="007B3C0F">
      <w:pPr>
        <w:pStyle w:val="ListParagraph"/>
        <w:numPr>
          <w:ilvl w:val="0"/>
          <w:numId w:val="21"/>
        </w:numPr>
      </w:pPr>
      <w:r w:rsidRPr="00EA547C">
        <w:t>Price MJ, Reddy VY, Valderrábano M</w:t>
      </w:r>
      <w:r>
        <w:t xml:space="preserve">, et al.  </w:t>
      </w:r>
      <w:r w:rsidRPr="00EA547C">
        <w:t>Bleeding Outcomes After Left Atrial Appendage Closure Compared With Long-Term Warfarin: A Pooled, Patient-Level Analysis of the WATCHMAN Randomized Trial Experience.</w:t>
      </w:r>
      <w:r>
        <w:t xml:space="preserve">  </w:t>
      </w:r>
      <w:r w:rsidRPr="00EA547C">
        <w:t>JACC Cardiovasc Interv. 2015 Dec 28;8(15):1925-32</w:t>
      </w:r>
    </w:p>
    <w:p w14:paraId="357F5FC7" w14:textId="77777777" w:rsidR="00EA547C" w:rsidRDefault="00EA547C" w:rsidP="007B3C0F">
      <w:pPr>
        <w:pStyle w:val="ListParagraph"/>
        <w:numPr>
          <w:ilvl w:val="0"/>
          <w:numId w:val="21"/>
        </w:numPr>
      </w:pPr>
      <w:r w:rsidRPr="00EA547C">
        <w:t>Holmes DR Jr, Doshi SK, Kar S</w:t>
      </w:r>
      <w:r>
        <w:t xml:space="preserve">, et al.  </w:t>
      </w:r>
      <w:r w:rsidRPr="00EA547C">
        <w:t>Left Atrial Appendage Closure as an Alternative to Warfarin for Stroke Prevention in Atrial Fibrillation: A Patient-Level Meta-Analysis. J Am Coll Cardiol. 2015 Jun 23;65(24):2614-23</w:t>
      </w:r>
    </w:p>
    <w:p w14:paraId="728A2A2F" w14:textId="77777777" w:rsidR="00EA547C" w:rsidRDefault="00EA547C" w:rsidP="007B3C0F">
      <w:pPr>
        <w:pStyle w:val="ListParagraph"/>
        <w:numPr>
          <w:ilvl w:val="0"/>
          <w:numId w:val="21"/>
        </w:numPr>
      </w:pPr>
      <w:r>
        <w:t>H</w:t>
      </w:r>
      <w:r w:rsidRPr="00EA547C">
        <w:t>olmes DR Jr, Kar S, Price MJ,</w:t>
      </w:r>
      <w:r>
        <w:t xml:space="preserve"> et al.  </w:t>
      </w:r>
      <w:r w:rsidRPr="00EA547C">
        <w:t>Prospective randomized evaluation of the Watchman Left Atrial Appendage Closure device in patients with atrial fibrillation versus long-term warfarin therapy: the PREVAIL trial.</w:t>
      </w:r>
      <w:r>
        <w:t xml:space="preserve">  </w:t>
      </w:r>
      <w:r w:rsidRPr="00EA547C">
        <w:t>J Am Coll Cardiol. 2014 Jul 8;64(1):1-12.</w:t>
      </w:r>
    </w:p>
    <w:p w14:paraId="3981458F" w14:textId="77777777" w:rsidR="00171801" w:rsidRDefault="00FA2991" w:rsidP="007B3C0F">
      <w:pPr>
        <w:pStyle w:val="ListParagraph"/>
        <w:numPr>
          <w:ilvl w:val="0"/>
          <w:numId w:val="21"/>
        </w:numPr>
      </w:pPr>
      <w:r w:rsidRPr="00FA2991">
        <w:t>Bajaj NS, Parashar A, Agarwal S</w:t>
      </w:r>
      <w:r>
        <w:t xml:space="preserve">, et al.  </w:t>
      </w:r>
      <w:r w:rsidRPr="00FA2991">
        <w:t>Percutaneous left atrial appendage occlusion for stroke prophylaxis in nonvalvular atrial fibrillation: a systematic review and analysis of observational studies.</w:t>
      </w:r>
      <w:r>
        <w:t xml:space="preserve">  </w:t>
      </w:r>
      <w:r w:rsidRPr="00FA2991">
        <w:t>JACC Cardiovasc Interv. 2014 Mar;7(3):296-304</w:t>
      </w:r>
    </w:p>
    <w:p w14:paraId="2F565BC9" w14:textId="77777777" w:rsidR="00FA2991" w:rsidRDefault="00FA2991" w:rsidP="007B3C0F">
      <w:pPr>
        <w:pStyle w:val="ListParagraph"/>
        <w:numPr>
          <w:ilvl w:val="0"/>
          <w:numId w:val="21"/>
        </w:numPr>
      </w:pPr>
      <w:r w:rsidRPr="00FA2991">
        <w:t>Chun KR, Bordignon S, Urban V</w:t>
      </w:r>
      <w:r>
        <w:t xml:space="preserve">, et al.  </w:t>
      </w:r>
      <w:r w:rsidRPr="00FA2991">
        <w:t>Left atrial appendage closure followed by 6 weeks of antithrombotic therapy: a prospective single-center experience.</w:t>
      </w:r>
      <w:r>
        <w:t xml:space="preserve">  </w:t>
      </w:r>
      <w:r w:rsidRPr="00FA2991">
        <w:t>Heart Rhythm. 2013 Dec;10(12):1792-9</w:t>
      </w:r>
    </w:p>
    <w:p w14:paraId="1F0C09E2" w14:textId="77777777" w:rsidR="00FA2991" w:rsidRDefault="00FA2991" w:rsidP="007B3C0F">
      <w:pPr>
        <w:pStyle w:val="ListParagraph"/>
        <w:numPr>
          <w:ilvl w:val="0"/>
          <w:numId w:val="21"/>
        </w:numPr>
      </w:pPr>
      <w:r w:rsidRPr="00FA2991">
        <w:t>Holmes DR, Reddy VY, Turi ZG,</w:t>
      </w:r>
      <w:r>
        <w:t xml:space="preserve"> et al.  </w:t>
      </w:r>
      <w:r w:rsidRPr="00FA2991">
        <w:t>Percutaneous closure of the left atrial appendage versus warfarin therapy for prevention of stroke in patients with atrial fibrillation: a randomised non-inferiority trial.</w:t>
      </w:r>
      <w:r>
        <w:t xml:space="preserve">  </w:t>
      </w:r>
      <w:r w:rsidRPr="00FA2991">
        <w:t>Lancet. 2009 Aug 15;374(9689):534-42</w:t>
      </w:r>
    </w:p>
    <w:p w14:paraId="2BE3F11A" w14:textId="77777777" w:rsidR="00B46DA1" w:rsidRDefault="00B46DA1" w:rsidP="00B46DA1">
      <w:pPr>
        <w:pStyle w:val="ListParagraph"/>
        <w:numPr>
          <w:ilvl w:val="0"/>
          <w:numId w:val="21"/>
        </w:numPr>
      </w:pPr>
      <w:r w:rsidRPr="00B46DA1">
        <w:t>Pillarisetti J, Reddy YM, Gunda S</w:t>
      </w:r>
      <w:r>
        <w:t xml:space="preserve">, et al.  </w:t>
      </w:r>
      <w:r w:rsidRPr="00B46DA1">
        <w:t>Endocardial (Watchman) vs epicardial (Lariat) left atrial appendage exclusion devices: Understanding the differences in the location and type of leaks and their clinical implications.</w:t>
      </w:r>
      <w:r>
        <w:t xml:space="preserve">  </w:t>
      </w:r>
      <w:r w:rsidRPr="00B46DA1">
        <w:t>Heart Rhythm. 2015 Jul;12(7):1501-7</w:t>
      </w:r>
    </w:p>
    <w:p w14:paraId="62A54FA8" w14:textId="77777777" w:rsidR="00B46DA1" w:rsidRDefault="00B46DA1" w:rsidP="00B46DA1">
      <w:pPr>
        <w:pStyle w:val="ListParagraph"/>
        <w:numPr>
          <w:ilvl w:val="0"/>
          <w:numId w:val="21"/>
        </w:numPr>
      </w:pPr>
      <w:r w:rsidRPr="00B46DA1">
        <w:t>Gloekler S, Shakir S, Doblies J</w:t>
      </w:r>
      <w:r>
        <w:t xml:space="preserve">, et al.  </w:t>
      </w:r>
      <w:r w:rsidRPr="00B46DA1">
        <w:t>Early results of first versus second generation Amplatzer occluders for left atrial appendage closure in patients with atrial fibrillation.</w:t>
      </w:r>
      <w:r>
        <w:t xml:space="preserve">  </w:t>
      </w:r>
      <w:r w:rsidRPr="00B46DA1">
        <w:t>Clin Res Cardiol. 2015 Aug;104(8):656-65</w:t>
      </w:r>
    </w:p>
    <w:p w14:paraId="7AEDB85E" w14:textId="77777777" w:rsidR="00B46DA1" w:rsidRDefault="00B46DA1" w:rsidP="00B46DA1">
      <w:pPr>
        <w:pStyle w:val="ListParagraph"/>
        <w:numPr>
          <w:ilvl w:val="0"/>
          <w:numId w:val="21"/>
        </w:numPr>
      </w:pPr>
      <w:r w:rsidRPr="00B46DA1">
        <w:t>Tzikas A, Shakir S, Gafoor S</w:t>
      </w:r>
      <w:r>
        <w:t xml:space="preserve">, et al.  </w:t>
      </w:r>
      <w:r w:rsidRPr="00B46DA1">
        <w:t>Left atrial appendage occlusion for stroke prevention in atrial fibrillation: multicentre experience with the AMPLATZER Cardiac Plug. EuroIntervention. 2016 Feb;11(10):1170-9.</w:t>
      </w:r>
    </w:p>
    <w:p w14:paraId="0CC6F446" w14:textId="277BC5FD" w:rsidR="001C0F57" w:rsidRDefault="00A43FF6" w:rsidP="00C541C1">
      <w:pPr>
        <w:pStyle w:val="ListParagraph"/>
        <w:numPr>
          <w:ilvl w:val="0"/>
          <w:numId w:val="21"/>
        </w:numPr>
      </w:pPr>
      <w:r>
        <w:lastRenderedPageBreak/>
        <w:t xml:space="preserve">Hayes Medical Technology Directory.  Comparative Effectiveness </w:t>
      </w:r>
      <w:r w:rsidR="00F55DDA">
        <w:t>R</w:t>
      </w:r>
      <w:r>
        <w:t xml:space="preserve">eview.  </w:t>
      </w:r>
      <w:r w:rsidR="00F55DDA" w:rsidRPr="00F55DDA">
        <w:t>Percutaneous Left Appendage Closure to Reduce Stroke Risk in Patients with Atrial Fibrillation</w:t>
      </w:r>
      <w:r w:rsidR="00F55DDA">
        <w:t xml:space="preserve">.  Feb 2018.  Accessed </w:t>
      </w:r>
      <w:r w:rsidR="00806C74">
        <w:t>April 16, 2019</w:t>
      </w:r>
      <w:r w:rsidR="00F55DDA">
        <w:t>.</w:t>
      </w:r>
    </w:p>
    <w:p w14:paraId="7950F384" w14:textId="526749A9" w:rsidR="00AD255E" w:rsidRDefault="00AD255E" w:rsidP="00AD255E">
      <w:pPr>
        <w:pStyle w:val="ListParagraph"/>
        <w:numPr>
          <w:ilvl w:val="0"/>
          <w:numId w:val="21"/>
        </w:numPr>
      </w:pPr>
      <w:r w:rsidRPr="00AD255E">
        <w:t xml:space="preserve">Hijazi ZM, Saw J.  Nonpharmacologic therapy to prevent embolization in patients with atrial   fibrillation.  In: UpToDate, Knight BP (Ed), UpToDate, Waltham, MA, 2015. Accessed </w:t>
      </w:r>
      <w:r w:rsidR="00063039">
        <w:t>April 16, 2019</w:t>
      </w:r>
    </w:p>
    <w:p w14:paraId="023EF48E" w14:textId="1461BAE6" w:rsidR="00AD255E" w:rsidRDefault="00AD255E" w:rsidP="00AD255E">
      <w:pPr>
        <w:pStyle w:val="ListParagraph"/>
        <w:numPr>
          <w:ilvl w:val="0"/>
          <w:numId w:val="21"/>
        </w:numPr>
      </w:pPr>
      <w:r w:rsidRPr="00AD255E">
        <w:t>Reddy VY, Doshi SK, Kar S, et al.  5-Year Outcomes After Left Atrial Appendage Closure: From the PREVAIL and PROTECT AF Trials.  J Am Coll Cardiol. 2017 Dec 19;70(24):2964-2975. doi: 10.1016/j.jacc.2017.10.021. Epub 2017 Nov 4</w:t>
      </w:r>
    </w:p>
    <w:p w14:paraId="738AFDD9" w14:textId="10B37C75" w:rsidR="00A307E4" w:rsidRPr="00E95013" w:rsidRDefault="00A307E4" w:rsidP="00C04066">
      <w:pPr>
        <w:pStyle w:val="ListParagraph"/>
        <w:ind w:left="360"/>
      </w:pPr>
      <w:r w:rsidRPr="00E95013">
        <w:t xml:space="preserve">European Heart Journal, Volume 39, Issue 13, 01 April 2018, Page 1109 </w:t>
      </w:r>
    </w:p>
    <w:p w14:paraId="5AE490A4" w14:textId="5F81AE8F" w:rsidR="00171801" w:rsidRPr="00963062" w:rsidRDefault="00171801" w:rsidP="00E95013"/>
    <w:p w14:paraId="0D8DC729" w14:textId="77777777" w:rsidR="00171801" w:rsidRPr="00146C6E" w:rsidRDefault="00171801" w:rsidP="00146C6E">
      <w:pPr>
        <w:rPr>
          <w:b/>
          <w:u w:val="single"/>
        </w:rPr>
      </w:pPr>
      <w:bookmarkStart w:id="3" w:name="Important_Reminder"/>
      <w:r w:rsidRPr="00146C6E">
        <w:rPr>
          <w:b/>
          <w:bCs/>
          <w:u w:val="single"/>
        </w:rPr>
        <w:t>Important Reminder</w:t>
      </w:r>
      <w:bookmarkEnd w:id="3"/>
    </w:p>
    <w:p w14:paraId="131E32BC" w14:textId="77777777" w:rsidR="00171801" w:rsidRPr="00146C6E" w:rsidRDefault="00171801"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88D0AAD" w14:textId="77777777" w:rsidR="00171801" w:rsidRPr="00146C6E" w:rsidRDefault="00171801" w:rsidP="00146C6E"/>
    <w:p w14:paraId="25DF410D" w14:textId="77777777" w:rsidR="00171801" w:rsidRPr="00146C6E" w:rsidRDefault="00171801"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00CF5E07" w14:textId="77777777" w:rsidR="00171801" w:rsidRPr="00146C6E" w:rsidRDefault="00171801" w:rsidP="00146C6E"/>
    <w:p w14:paraId="2E56DEE7" w14:textId="77777777" w:rsidR="00171801" w:rsidRPr="00146C6E" w:rsidRDefault="00171801" w:rsidP="00146C6E">
      <w:pPr>
        <w:rPr>
          <w:color w:val="002868"/>
        </w:rPr>
      </w:pPr>
      <w:r w:rsidRPr="00146C6E">
        <w:lastRenderedPageBreak/>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55B20BC6" w14:textId="77777777" w:rsidR="00171801" w:rsidRPr="00146C6E" w:rsidRDefault="00171801" w:rsidP="00146C6E"/>
    <w:p w14:paraId="2A7A97B1" w14:textId="77777777" w:rsidR="00171801" w:rsidRPr="00146C6E" w:rsidRDefault="00171801"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C1A1A8C" w14:textId="77777777" w:rsidR="00171801" w:rsidRPr="00146C6E" w:rsidRDefault="00171801" w:rsidP="00146C6E"/>
    <w:p w14:paraId="50793E02" w14:textId="77777777" w:rsidR="00171801" w:rsidRPr="00146C6E" w:rsidRDefault="00171801"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564CA1B3" w14:textId="77777777" w:rsidR="00171801" w:rsidRPr="00146C6E" w:rsidRDefault="00171801" w:rsidP="00146C6E"/>
    <w:p w14:paraId="54E43B19" w14:textId="77777777" w:rsidR="00171801" w:rsidRPr="00146C6E" w:rsidRDefault="00171801"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52BC1D93" w14:textId="77777777" w:rsidR="00171801" w:rsidRPr="00146C6E" w:rsidRDefault="00171801" w:rsidP="00146C6E">
      <w:pPr>
        <w:autoSpaceDE w:val="0"/>
        <w:autoSpaceDN w:val="0"/>
        <w:adjustRightInd w:val="0"/>
        <w:rPr>
          <w:color w:val="000000"/>
        </w:rPr>
      </w:pPr>
    </w:p>
    <w:p w14:paraId="15C77509" w14:textId="77777777" w:rsidR="00171801" w:rsidRPr="00146C6E" w:rsidRDefault="00171801"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1FE18B93" w14:textId="77777777" w:rsidR="00171801" w:rsidRPr="00146C6E" w:rsidRDefault="00171801" w:rsidP="00146C6E"/>
    <w:p w14:paraId="2AB44DD0" w14:textId="77777777" w:rsidR="00171801" w:rsidRPr="00146C6E" w:rsidRDefault="00171801"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Pr>
          <w:color w:val="000000"/>
        </w:rPr>
        <w:t>,</w:t>
      </w:r>
      <w:r w:rsidRPr="00146C6E">
        <w:rPr>
          <w:color w:val="000000"/>
        </w:rPr>
        <w:t xml:space="preserve"> LCDs</w:t>
      </w:r>
      <w:r>
        <w:rPr>
          <w:color w:val="000000"/>
        </w:rPr>
        <w:t xml:space="preserve">, and Medicare Coverage Articles </w:t>
      </w:r>
      <w:r w:rsidRPr="00146C6E">
        <w:rPr>
          <w:color w:val="000000"/>
        </w:rPr>
        <w:t xml:space="preserve">should be reviewed </w:t>
      </w:r>
      <w:r w:rsidRPr="00146C6E">
        <w:rPr>
          <w:color w:val="000000"/>
          <w:u w:val="single"/>
        </w:rPr>
        <w:t>prior to</w:t>
      </w:r>
      <w:r w:rsidRPr="00146C6E">
        <w:rPr>
          <w:color w:val="000000"/>
        </w:rPr>
        <w:t xml:space="preserve"> applying the criteria set </w:t>
      </w:r>
      <w:r w:rsidRPr="00146C6E">
        <w:rPr>
          <w:color w:val="000000"/>
        </w:rPr>
        <w:lastRenderedPageBreak/>
        <w:t xml:space="preserve">forth in this clinical policy. Refer to the CMS website at </w:t>
      </w:r>
      <w:hyperlink r:id="rId14" w:history="1">
        <w:r w:rsidRPr="00146C6E">
          <w:rPr>
            <w:color w:val="000000"/>
            <w:u w:val="single"/>
          </w:rPr>
          <w:t>http://www.cms.gov</w:t>
        </w:r>
      </w:hyperlink>
      <w:r w:rsidRPr="00146C6E">
        <w:rPr>
          <w:color w:val="000000"/>
        </w:rPr>
        <w:t xml:space="preserve"> for additional information. </w:t>
      </w:r>
    </w:p>
    <w:p w14:paraId="6219DC02" w14:textId="77777777" w:rsidR="00171801" w:rsidRPr="00146C6E" w:rsidRDefault="00171801" w:rsidP="00146C6E">
      <w:pPr>
        <w:rPr>
          <w:iCs/>
        </w:rPr>
      </w:pPr>
    </w:p>
    <w:p w14:paraId="151A2274" w14:textId="77777777" w:rsidR="00171801" w:rsidRPr="00146C6E" w:rsidRDefault="006E58E0" w:rsidP="00146C6E">
      <w:pPr>
        <w:rPr>
          <w:iCs/>
        </w:rPr>
      </w:pPr>
      <w:r>
        <w:rPr>
          <w:iCs/>
        </w:rPr>
        <w:t>©2017</w:t>
      </w:r>
      <w:r w:rsidR="00171801"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171801" w:rsidRPr="00146C6E">
        <w:rPr>
          <w:iCs/>
          <w:vertAlign w:val="superscript"/>
        </w:rPr>
        <w:t>®</w:t>
      </w:r>
      <w:r w:rsidR="00171801" w:rsidRPr="00146C6E">
        <w:rPr>
          <w:iCs/>
        </w:rPr>
        <w:t xml:space="preserve"> and Centene Corporation</w:t>
      </w:r>
      <w:r w:rsidR="00171801" w:rsidRPr="00146C6E">
        <w:rPr>
          <w:iCs/>
          <w:vertAlign w:val="superscript"/>
        </w:rPr>
        <w:t>®</w:t>
      </w:r>
      <w:r w:rsidR="00171801" w:rsidRPr="00146C6E">
        <w:rPr>
          <w:iCs/>
        </w:rPr>
        <w:t xml:space="preserve"> are registered trademarks exclusively owned by Centene Corporation.</w:t>
      </w:r>
    </w:p>
    <w:p w14:paraId="26A87AEF" w14:textId="77777777" w:rsidR="00171801" w:rsidRDefault="00171801" w:rsidP="00AF5490"/>
    <w:sectPr w:rsidR="00171801"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BFB75" w14:textId="77777777" w:rsidR="00171801" w:rsidRDefault="00171801">
      <w:r>
        <w:separator/>
      </w:r>
    </w:p>
  </w:endnote>
  <w:endnote w:type="continuationSeparator" w:id="0">
    <w:p w14:paraId="01E18AA4" w14:textId="77777777" w:rsidR="00171801" w:rsidRDefault="0017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AD5A" w14:textId="4FD79926" w:rsidR="00171801" w:rsidRPr="00D574CA" w:rsidRDefault="00171801" w:rsidP="00D574CA">
    <w:pPr>
      <w:pStyle w:val="Footer"/>
      <w:jc w:val="center"/>
    </w:pPr>
    <w:r>
      <w:t xml:space="preserve">Page </w:t>
    </w:r>
    <w:r>
      <w:rPr>
        <w:b/>
        <w:bCs/>
      </w:rPr>
      <w:fldChar w:fldCharType="begin"/>
    </w:r>
    <w:r>
      <w:rPr>
        <w:b/>
        <w:bCs/>
      </w:rPr>
      <w:instrText xml:space="preserve"> PAGE </w:instrText>
    </w:r>
    <w:r>
      <w:rPr>
        <w:b/>
        <w:bCs/>
      </w:rPr>
      <w:fldChar w:fldCharType="separate"/>
    </w:r>
    <w:r w:rsidR="00EA190F">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A190F">
      <w:rPr>
        <w:b/>
        <w:bCs/>
        <w:noProof/>
      </w:rPr>
      <w:t>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5F55" w14:textId="16B63B8B" w:rsidR="00171801" w:rsidRDefault="00171801" w:rsidP="002C6AAB">
    <w:pPr>
      <w:pStyle w:val="Footer"/>
      <w:jc w:val="center"/>
    </w:pPr>
    <w:r>
      <w:t xml:space="preserve">Page </w:t>
    </w:r>
    <w:r w:rsidR="00836CA0">
      <w:fldChar w:fldCharType="begin"/>
    </w:r>
    <w:r w:rsidR="00836CA0">
      <w:instrText xml:space="preserve"> PAGE   \* MERGEFORMAT </w:instrText>
    </w:r>
    <w:r w:rsidR="00836CA0">
      <w:fldChar w:fldCharType="separate"/>
    </w:r>
    <w:r w:rsidR="00EA190F">
      <w:rPr>
        <w:noProof/>
      </w:rPr>
      <w:t>1</w:t>
    </w:r>
    <w:r w:rsidR="00836CA0">
      <w:rPr>
        <w:noProof/>
      </w:rPr>
      <w:fldChar w:fldCharType="end"/>
    </w:r>
    <w:r>
      <w:t xml:space="preserve"> of </w:t>
    </w:r>
    <w:r w:rsidR="00C27AF5">
      <w:rPr>
        <w:noProof/>
      </w:rPr>
      <w:fldChar w:fldCharType="begin"/>
    </w:r>
    <w:r w:rsidR="00C27AF5">
      <w:rPr>
        <w:noProof/>
      </w:rPr>
      <w:instrText xml:space="preserve"> NUMPAGES   \* MERGEFORMAT </w:instrText>
    </w:r>
    <w:r w:rsidR="00C27AF5">
      <w:rPr>
        <w:noProof/>
      </w:rPr>
      <w:fldChar w:fldCharType="separate"/>
    </w:r>
    <w:r w:rsidR="00EA190F">
      <w:rPr>
        <w:noProof/>
      </w:rPr>
      <w:t>7</w:t>
    </w:r>
    <w:r w:rsidR="00C27A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100A" w14:textId="77777777" w:rsidR="00171801" w:rsidRDefault="00171801">
      <w:r>
        <w:separator/>
      </w:r>
    </w:p>
  </w:footnote>
  <w:footnote w:type="continuationSeparator" w:id="0">
    <w:p w14:paraId="0E0D7D6B" w14:textId="77777777" w:rsidR="00171801" w:rsidRDefault="0017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C0F5" w14:textId="77777777" w:rsidR="00171801" w:rsidRPr="00CA34AD" w:rsidRDefault="00171801" w:rsidP="00480C09">
    <w:pPr>
      <w:rPr>
        <w:rFonts w:ascii="Times New Roman Bold" w:hAnsi="Times New Roman Bold"/>
        <w:b/>
        <w:bCs/>
        <w:smallCaps/>
        <w:color w:val="00548C"/>
        <w:sz w:val="28"/>
      </w:rPr>
    </w:pPr>
    <w:r w:rsidRPr="00CA34AD">
      <w:rPr>
        <w:rFonts w:ascii="Times New Roman Bold" w:hAnsi="Times New Roman Bold"/>
        <w:b/>
        <w:bCs/>
        <w:smallCaps/>
        <w:color w:val="00548C"/>
        <w:sz w:val="28"/>
      </w:rPr>
      <w:t>Clinical Policy</w:t>
    </w:r>
    <w:r w:rsidRPr="00CA34AD">
      <w:rPr>
        <w:rFonts w:ascii="Times New Roman Bold" w:hAnsi="Times New Roman Bold"/>
        <w:b/>
        <w:bCs/>
        <w:smallCaps/>
        <w:color w:val="00548C"/>
        <w:sz w:val="28"/>
      </w:rPr>
      <w:tab/>
    </w:r>
    <w:r w:rsidRPr="00CA34AD">
      <w:rPr>
        <w:rFonts w:ascii="Times New Roman Bold" w:hAnsi="Times New Roman Bold"/>
        <w:b/>
        <w:bCs/>
        <w:smallCaps/>
        <w:color w:val="00548C"/>
        <w:sz w:val="28"/>
      </w:rPr>
      <w:tab/>
    </w:r>
    <w:r w:rsidRPr="00CA34AD">
      <w:rPr>
        <w:rFonts w:ascii="Times New Roman Bold" w:hAnsi="Times New Roman Bold"/>
        <w:b/>
        <w:bCs/>
        <w:smallCaps/>
        <w:color w:val="00548C"/>
        <w:sz w:val="28"/>
      </w:rPr>
      <w:tab/>
    </w:r>
    <w:r w:rsidRPr="00CA34AD">
      <w:rPr>
        <w:rFonts w:ascii="Times New Roman Bold" w:hAnsi="Times New Roman Bold"/>
        <w:b/>
        <w:bCs/>
        <w:smallCaps/>
        <w:color w:val="00548C"/>
        <w:sz w:val="28"/>
      </w:rPr>
      <w:tab/>
    </w:r>
    <w:r w:rsidRPr="00CA34AD">
      <w:rPr>
        <w:rFonts w:ascii="Times New Roman Bold" w:hAnsi="Times New Roman Bold"/>
        <w:b/>
        <w:bCs/>
        <w:smallCaps/>
        <w:color w:val="00548C"/>
        <w:sz w:val="28"/>
      </w:rPr>
      <w:tab/>
    </w:r>
    <w:r w:rsidRPr="00CA34AD">
      <w:rPr>
        <w:rFonts w:ascii="Times New Roman Bold" w:hAnsi="Times New Roman Bold"/>
        <w:b/>
        <w:bCs/>
        <w:smallCaps/>
        <w:color w:val="00548C"/>
        <w:sz w:val="28"/>
      </w:rPr>
      <w:tab/>
    </w:r>
    <w:r w:rsidRPr="00CA34AD">
      <w:rPr>
        <w:rFonts w:ascii="Times New Roman Bold" w:hAnsi="Times New Roman Bold"/>
        <w:b/>
        <w:bCs/>
        <w:smallCaps/>
        <w:color w:val="00548C"/>
        <w:sz w:val="28"/>
      </w:rPr>
      <w:tab/>
    </w:r>
    <w:r w:rsidRPr="00CA34AD">
      <w:rPr>
        <w:rFonts w:ascii="Times New Roman Bold" w:hAnsi="Times New Roman Bold"/>
        <w:b/>
        <w:bCs/>
        <w:smallCaps/>
        <w:color w:val="00548C"/>
        <w:sz w:val="28"/>
      </w:rPr>
      <w:tab/>
    </w:r>
    <w:r w:rsidR="00B90C40" w:rsidRPr="00CA34AD">
      <w:rPr>
        <w:noProof/>
        <w:color w:val="00548C"/>
      </w:rPr>
      <w:drawing>
        <wp:inline distT="0" distB="0" distL="0" distR="0" wp14:anchorId="5B8E0BD5" wp14:editId="7368CACF">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25A3726A" w14:textId="77777777" w:rsidR="00171801" w:rsidRPr="00CA34AD" w:rsidRDefault="00F351D2" w:rsidP="00B777AF">
    <w:pPr>
      <w:rPr>
        <w:color w:val="00548C"/>
      </w:rPr>
    </w:pPr>
    <w:r w:rsidRPr="00CA34AD">
      <w:rPr>
        <w:color w:val="00548C"/>
      </w:rPr>
      <w:t>Percutaneous Left Atrial Appendage Closure Device for Stroke Prevention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6CA0" w14:textId="77777777" w:rsidR="00171801" w:rsidRDefault="00B90C40" w:rsidP="00B777AF">
    <w:pPr>
      <w:pStyle w:val="Header"/>
      <w:jc w:val="right"/>
    </w:pPr>
    <w:r>
      <w:rPr>
        <w:noProof/>
      </w:rPr>
      <w:drawing>
        <wp:inline distT="0" distB="0" distL="0" distR="0" wp14:anchorId="16395EA3" wp14:editId="31F05B5F">
          <wp:extent cx="1362075" cy="342900"/>
          <wp:effectExtent l="0" t="0" r="9525" b="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1"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E4ABF"/>
    <w:multiLevelType w:val="hybridMultilevel"/>
    <w:tmpl w:val="8D021BDC"/>
    <w:lvl w:ilvl="0" w:tplc="D5920432">
      <w:start w:val="1"/>
      <w:numFmt w:val="upperRoman"/>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57E0837"/>
    <w:multiLevelType w:val="hybridMultilevel"/>
    <w:tmpl w:val="966645D4"/>
    <w:lvl w:ilvl="0" w:tplc="787828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8B1A41"/>
    <w:multiLevelType w:val="hybridMultilevel"/>
    <w:tmpl w:val="C08E9CA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D1E3D0A"/>
    <w:multiLevelType w:val="hybridMultilevel"/>
    <w:tmpl w:val="4E80E0D4"/>
    <w:lvl w:ilvl="0" w:tplc="6BAC0802">
      <w:start w:val="1"/>
      <w:numFmt w:val="upperRoman"/>
      <w:lvlText w:val="%1."/>
      <w:lvlJc w:val="left"/>
      <w:pPr>
        <w:ind w:left="720" w:hanging="360"/>
      </w:pPr>
      <w:rPr>
        <w:rFonts w:cs="Times New Roman" w:hint="default"/>
        <w:b/>
        <w:i w:val="0"/>
      </w:rPr>
    </w:lvl>
    <w:lvl w:ilvl="1" w:tplc="D736ADDA">
      <w:start w:val="1"/>
      <w:numFmt w:val="upperLetter"/>
      <w:lvlText w:val="%2."/>
      <w:lvlJc w:val="left"/>
      <w:pPr>
        <w:ind w:left="1440" w:hanging="360"/>
      </w:pPr>
      <w:rPr>
        <w:rFonts w:cs="Times New Roman" w:hint="default"/>
        <w:b/>
        <w:i w:val="0"/>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25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7"/>
  </w:num>
  <w:num w:numId="4">
    <w:abstractNumId w:val="10"/>
  </w:num>
  <w:num w:numId="5">
    <w:abstractNumId w:val="11"/>
  </w:num>
  <w:num w:numId="6">
    <w:abstractNumId w:val="18"/>
  </w:num>
  <w:num w:numId="7">
    <w:abstractNumId w:val="19"/>
  </w:num>
  <w:num w:numId="8">
    <w:abstractNumId w:val="1"/>
  </w:num>
  <w:num w:numId="9">
    <w:abstractNumId w:val="14"/>
  </w:num>
  <w:num w:numId="10">
    <w:abstractNumId w:val="5"/>
  </w:num>
  <w:num w:numId="11">
    <w:abstractNumId w:val="21"/>
  </w:num>
  <w:num w:numId="12">
    <w:abstractNumId w:val="9"/>
  </w:num>
  <w:num w:numId="13">
    <w:abstractNumId w:val="8"/>
  </w:num>
  <w:num w:numId="14">
    <w:abstractNumId w:val="3"/>
  </w:num>
  <w:num w:numId="15">
    <w:abstractNumId w:val="6"/>
  </w:num>
  <w:num w:numId="16">
    <w:abstractNumId w:val="20"/>
  </w:num>
  <w:num w:numId="17">
    <w:abstractNumId w:val="15"/>
  </w:num>
  <w:num w:numId="18">
    <w:abstractNumId w:val="12"/>
  </w:num>
  <w:num w:numId="19">
    <w:abstractNumId w:val="4"/>
  </w:num>
  <w:num w:numId="20">
    <w:abstractNumId w:val="2"/>
  </w:num>
  <w:num w:numId="21">
    <w:abstractNumId w:val="17"/>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332D2"/>
    <w:rsid w:val="000465DE"/>
    <w:rsid w:val="0004733E"/>
    <w:rsid w:val="000603D4"/>
    <w:rsid w:val="00060509"/>
    <w:rsid w:val="00063039"/>
    <w:rsid w:val="0006394A"/>
    <w:rsid w:val="00083740"/>
    <w:rsid w:val="00084F07"/>
    <w:rsid w:val="00094136"/>
    <w:rsid w:val="000B1DC9"/>
    <w:rsid w:val="000C0488"/>
    <w:rsid w:val="000C40BB"/>
    <w:rsid w:val="000E4441"/>
    <w:rsid w:val="000F10C2"/>
    <w:rsid w:val="000F2738"/>
    <w:rsid w:val="00113134"/>
    <w:rsid w:val="001148A8"/>
    <w:rsid w:val="0012748F"/>
    <w:rsid w:val="0013230A"/>
    <w:rsid w:val="0014316D"/>
    <w:rsid w:val="00146C6E"/>
    <w:rsid w:val="00151DE0"/>
    <w:rsid w:val="001567A6"/>
    <w:rsid w:val="00170B14"/>
    <w:rsid w:val="00171801"/>
    <w:rsid w:val="001818D7"/>
    <w:rsid w:val="00185104"/>
    <w:rsid w:val="001962BE"/>
    <w:rsid w:val="00196689"/>
    <w:rsid w:val="00196935"/>
    <w:rsid w:val="0019746F"/>
    <w:rsid w:val="001C0F57"/>
    <w:rsid w:val="001C4EB7"/>
    <w:rsid w:val="001D0D34"/>
    <w:rsid w:val="001D70D4"/>
    <w:rsid w:val="001E7D12"/>
    <w:rsid w:val="0020675F"/>
    <w:rsid w:val="00220736"/>
    <w:rsid w:val="00230FE4"/>
    <w:rsid w:val="00233651"/>
    <w:rsid w:val="00236C6C"/>
    <w:rsid w:val="002513EF"/>
    <w:rsid w:val="00254020"/>
    <w:rsid w:val="0025452A"/>
    <w:rsid w:val="00285997"/>
    <w:rsid w:val="002A39EE"/>
    <w:rsid w:val="002B0582"/>
    <w:rsid w:val="002C6AAB"/>
    <w:rsid w:val="002D019A"/>
    <w:rsid w:val="002D44D6"/>
    <w:rsid w:val="002D672E"/>
    <w:rsid w:val="002E48E7"/>
    <w:rsid w:val="002E5306"/>
    <w:rsid w:val="003140D6"/>
    <w:rsid w:val="00331C24"/>
    <w:rsid w:val="00334E79"/>
    <w:rsid w:val="00336E37"/>
    <w:rsid w:val="00350F22"/>
    <w:rsid w:val="003840CC"/>
    <w:rsid w:val="003873EE"/>
    <w:rsid w:val="00397F0E"/>
    <w:rsid w:val="003A5107"/>
    <w:rsid w:val="003D7BE7"/>
    <w:rsid w:val="003F3D44"/>
    <w:rsid w:val="004555F1"/>
    <w:rsid w:val="00472C6C"/>
    <w:rsid w:val="00480C09"/>
    <w:rsid w:val="004918FA"/>
    <w:rsid w:val="00493710"/>
    <w:rsid w:val="00496BCF"/>
    <w:rsid w:val="00497AED"/>
    <w:rsid w:val="004A40CF"/>
    <w:rsid w:val="004B002C"/>
    <w:rsid w:val="004C27D7"/>
    <w:rsid w:val="004E0B99"/>
    <w:rsid w:val="004E1481"/>
    <w:rsid w:val="004E38F3"/>
    <w:rsid w:val="004E5644"/>
    <w:rsid w:val="004F16FF"/>
    <w:rsid w:val="004F6394"/>
    <w:rsid w:val="00504F03"/>
    <w:rsid w:val="00505830"/>
    <w:rsid w:val="00507DC0"/>
    <w:rsid w:val="005103B8"/>
    <w:rsid w:val="005144C0"/>
    <w:rsid w:val="005355F3"/>
    <w:rsid w:val="005423D4"/>
    <w:rsid w:val="005537B0"/>
    <w:rsid w:val="00556CBA"/>
    <w:rsid w:val="005574C3"/>
    <w:rsid w:val="00572668"/>
    <w:rsid w:val="005776FD"/>
    <w:rsid w:val="00580C35"/>
    <w:rsid w:val="00583376"/>
    <w:rsid w:val="00593E14"/>
    <w:rsid w:val="00594D4A"/>
    <w:rsid w:val="005B6328"/>
    <w:rsid w:val="005C17DF"/>
    <w:rsid w:val="005C3607"/>
    <w:rsid w:val="005D009F"/>
    <w:rsid w:val="005D5146"/>
    <w:rsid w:val="005D6347"/>
    <w:rsid w:val="005D7B81"/>
    <w:rsid w:val="005E117C"/>
    <w:rsid w:val="005E411E"/>
    <w:rsid w:val="005F051C"/>
    <w:rsid w:val="005F1897"/>
    <w:rsid w:val="006474BB"/>
    <w:rsid w:val="00650D12"/>
    <w:rsid w:val="00651B56"/>
    <w:rsid w:val="006664E9"/>
    <w:rsid w:val="006A2C3D"/>
    <w:rsid w:val="006C70FA"/>
    <w:rsid w:val="006C74DF"/>
    <w:rsid w:val="006D3954"/>
    <w:rsid w:val="006E58E0"/>
    <w:rsid w:val="006F4D70"/>
    <w:rsid w:val="007022EC"/>
    <w:rsid w:val="0070494B"/>
    <w:rsid w:val="00713490"/>
    <w:rsid w:val="007163E2"/>
    <w:rsid w:val="00731281"/>
    <w:rsid w:val="00744250"/>
    <w:rsid w:val="00771293"/>
    <w:rsid w:val="007764CE"/>
    <w:rsid w:val="007774A1"/>
    <w:rsid w:val="0079587D"/>
    <w:rsid w:val="007A0BCC"/>
    <w:rsid w:val="007B07AE"/>
    <w:rsid w:val="007B0AF5"/>
    <w:rsid w:val="007B3C0F"/>
    <w:rsid w:val="007B50D0"/>
    <w:rsid w:val="007C33D3"/>
    <w:rsid w:val="007D4801"/>
    <w:rsid w:val="007E440B"/>
    <w:rsid w:val="007F1F19"/>
    <w:rsid w:val="00806C74"/>
    <w:rsid w:val="00827A22"/>
    <w:rsid w:val="00836CA0"/>
    <w:rsid w:val="008401A9"/>
    <w:rsid w:val="00840221"/>
    <w:rsid w:val="00850964"/>
    <w:rsid w:val="00855C36"/>
    <w:rsid w:val="008565A5"/>
    <w:rsid w:val="00857C10"/>
    <w:rsid w:val="008701B1"/>
    <w:rsid w:val="00870AEE"/>
    <w:rsid w:val="00875924"/>
    <w:rsid w:val="008770D9"/>
    <w:rsid w:val="00877EC7"/>
    <w:rsid w:val="00896E94"/>
    <w:rsid w:val="008A1D51"/>
    <w:rsid w:val="008B0705"/>
    <w:rsid w:val="008C6B3A"/>
    <w:rsid w:val="008C71B0"/>
    <w:rsid w:val="008E4FA5"/>
    <w:rsid w:val="00902C9B"/>
    <w:rsid w:val="00912FCE"/>
    <w:rsid w:val="009135E0"/>
    <w:rsid w:val="00915CA4"/>
    <w:rsid w:val="009421A9"/>
    <w:rsid w:val="00950820"/>
    <w:rsid w:val="00961071"/>
    <w:rsid w:val="00963062"/>
    <w:rsid w:val="00970D9B"/>
    <w:rsid w:val="009735FA"/>
    <w:rsid w:val="00973A35"/>
    <w:rsid w:val="00977ECA"/>
    <w:rsid w:val="00980531"/>
    <w:rsid w:val="00982180"/>
    <w:rsid w:val="009928B2"/>
    <w:rsid w:val="009A5AD1"/>
    <w:rsid w:val="009B6A63"/>
    <w:rsid w:val="009C61B2"/>
    <w:rsid w:val="009D3526"/>
    <w:rsid w:val="009D3950"/>
    <w:rsid w:val="009D5928"/>
    <w:rsid w:val="009E6B9D"/>
    <w:rsid w:val="009E6F29"/>
    <w:rsid w:val="00A06641"/>
    <w:rsid w:val="00A20F73"/>
    <w:rsid w:val="00A307E4"/>
    <w:rsid w:val="00A4034A"/>
    <w:rsid w:val="00A41969"/>
    <w:rsid w:val="00A43FF6"/>
    <w:rsid w:val="00A51BAF"/>
    <w:rsid w:val="00A60413"/>
    <w:rsid w:val="00A83658"/>
    <w:rsid w:val="00A85489"/>
    <w:rsid w:val="00A85B08"/>
    <w:rsid w:val="00A87B1F"/>
    <w:rsid w:val="00AA336E"/>
    <w:rsid w:val="00AA428E"/>
    <w:rsid w:val="00AC5B44"/>
    <w:rsid w:val="00AD1AA6"/>
    <w:rsid w:val="00AD255E"/>
    <w:rsid w:val="00AF1F2A"/>
    <w:rsid w:val="00AF30EF"/>
    <w:rsid w:val="00AF5490"/>
    <w:rsid w:val="00B23BC8"/>
    <w:rsid w:val="00B339F8"/>
    <w:rsid w:val="00B4633B"/>
    <w:rsid w:val="00B46DA1"/>
    <w:rsid w:val="00B477CD"/>
    <w:rsid w:val="00B777AF"/>
    <w:rsid w:val="00B81030"/>
    <w:rsid w:val="00B81789"/>
    <w:rsid w:val="00B84EF5"/>
    <w:rsid w:val="00B90C40"/>
    <w:rsid w:val="00B92DF1"/>
    <w:rsid w:val="00BB00F8"/>
    <w:rsid w:val="00BE073A"/>
    <w:rsid w:val="00BE66C0"/>
    <w:rsid w:val="00BF4150"/>
    <w:rsid w:val="00C01AA6"/>
    <w:rsid w:val="00C03EE1"/>
    <w:rsid w:val="00C04066"/>
    <w:rsid w:val="00C06257"/>
    <w:rsid w:val="00C079B0"/>
    <w:rsid w:val="00C10DF0"/>
    <w:rsid w:val="00C14250"/>
    <w:rsid w:val="00C1601F"/>
    <w:rsid w:val="00C2297C"/>
    <w:rsid w:val="00C27AF5"/>
    <w:rsid w:val="00C36DB1"/>
    <w:rsid w:val="00C5330C"/>
    <w:rsid w:val="00C541C1"/>
    <w:rsid w:val="00C55E2F"/>
    <w:rsid w:val="00C64BB4"/>
    <w:rsid w:val="00C72004"/>
    <w:rsid w:val="00C73CF5"/>
    <w:rsid w:val="00C75BD4"/>
    <w:rsid w:val="00C75ECB"/>
    <w:rsid w:val="00C81965"/>
    <w:rsid w:val="00C827DB"/>
    <w:rsid w:val="00C96847"/>
    <w:rsid w:val="00CA34AD"/>
    <w:rsid w:val="00CA53B9"/>
    <w:rsid w:val="00CA5C08"/>
    <w:rsid w:val="00CA6E8D"/>
    <w:rsid w:val="00CB54F4"/>
    <w:rsid w:val="00CE5D46"/>
    <w:rsid w:val="00CF2624"/>
    <w:rsid w:val="00CF7AC1"/>
    <w:rsid w:val="00D15171"/>
    <w:rsid w:val="00D36448"/>
    <w:rsid w:val="00D574CA"/>
    <w:rsid w:val="00D71BC4"/>
    <w:rsid w:val="00D746CF"/>
    <w:rsid w:val="00D861CA"/>
    <w:rsid w:val="00DB1DE9"/>
    <w:rsid w:val="00DB7073"/>
    <w:rsid w:val="00DC7E04"/>
    <w:rsid w:val="00DD025A"/>
    <w:rsid w:val="00DD6ADB"/>
    <w:rsid w:val="00DD7D7A"/>
    <w:rsid w:val="00DE18E2"/>
    <w:rsid w:val="00DF5419"/>
    <w:rsid w:val="00E06E15"/>
    <w:rsid w:val="00E36D66"/>
    <w:rsid w:val="00E62CD1"/>
    <w:rsid w:val="00E70E04"/>
    <w:rsid w:val="00E7516C"/>
    <w:rsid w:val="00E77F91"/>
    <w:rsid w:val="00E810F5"/>
    <w:rsid w:val="00E94BF2"/>
    <w:rsid w:val="00E95013"/>
    <w:rsid w:val="00E97C17"/>
    <w:rsid w:val="00EA190F"/>
    <w:rsid w:val="00EA3809"/>
    <w:rsid w:val="00EA547C"/>
    <w:rsid w:val="00EB6568"/>
    <w:rsid w:val="00EC6EFD"/>
    <w:rsid w:val="00ED0A0D"/>
    <w:rsid w:val="00EF2004"/>
    <w:rsid w:val="00F03DC0"/>
    <w:rsid w:val="00F2015B"/>
    <w:rsid w:val="00F2705D"/>
    <w:rsid w:val="00F351D2"/>
    <w:rsid w:val="00F37FD6"/>
    <w:rsid w:val="00F41C82"/>
    <w:rsid w:val="00F422E1"/>
    <w:rsid w:val="00F536DF"/>
    <w:rsid w:val="00F55DDA"/>
    <w:rsid w:val="00F55E9D"/>
    <w:rsid w:val="00F57E80"/>
    <w:rsid w:val="00F67BBD"/>
    <w:rsid w:val="00F71F8E"/>
    <w:rsid w:val="00F74762"/>
    <w:rsid w:val="00F87A90"/>
    <w:rsid w:val="00F91367"/>
    <w:rsid w:val="00F95133"/>
    <w:rsid w:val="00FA2991"/>
    <w:rsid w:val="00FA6087"/>
    <w:rsid w:val="00FB0592"/>
    <w:rsid w:val="00FB139B"/>
    <w:rsid w:val="00FE0449"/>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6A5E4AC"/>
  <w15:docId w15:val="{C6B9513A-188E-4152-9C2A-59A19D79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0B"/>
    <w:rPr>
      <w:sz w:val="24"/>
      <w:szCs w:val="24"/>
    </w:rPr>
  </w:style>
  <w:style w:type="paragraph" w:styleId="Heading1">
    <w:name w:val="heading 1"/>
    <w:basedOn w:val="Normal"/>
    <w:next w:val="Normal"/>
    <w:link w:val="Heading1Char"/>
    <w:uiPriority w:val="99"/>
    <w:qFormat/>
    <w:rsid w:val="007E440B"/>
    <w:pPr>
      <w:keepNext/>
      <w:outlineLvl w:val="0"/>
    </w:pPr>
    <w:rPr>
      <w:b/>
      <w:bCs/>
      <w:sz w:val="20"/>
      <w:szCs w:val="12"/>
    </w:rPr>
  </w:style>
  <w:style w:type="paragraph" w:styleId="Heading2">
    <w:name w:val="heading 2"/>
    <w:basedOn w:val="Normal"/>
    <w:next w:val="Normal"/>
    <w:link w:val="Heading2Char"/>
    <w:uiPriority w:val="99"/>
    <w:qFormat/>
    <w:rsid w:val="007E440B"/>
    <w:pPr>
      <w:keepNext/>
      <w:outlineLvl w:val="1"/>
    </w:pPr>
    <w:rPr>
      <w:b/>
      <w:bCs/>
      <w:u w:val="single"/>
    </w:rPr>
  </w:style>
  <w:style w:type="paragraph" w:styleId="Heading3">
    <w:name w:val="heading 3"/>
    <w:basedOn w:val="Normal"/>
    <w:next w:val="Normal"/>
    <w:link w:val="Heading3Char"/>
    <w:uiPriority w:val="99"/>
    <w:qFormat/>
    <w:rsid w:val="007E440B"/>
    <w:pPr>
      <w:keepNext/>
      <w:outlineLvl w:val="2"/>
    </w:pPr>
    <w:rPr>
      <w:b/>
      <w:bCs/>
    </w:rPr>
  </w:style>
  <w:style w:type="paragraph" w:styleId="Heading4">
    <w:name w:val="heading 4"/>
    <w:basedOn w:val="Normal"/>
    <w:next w:val="Normal"/>
    <w:link w:val="Heading4Char"/>
    <w:uiPriority w:val="99"/>
    <w:qFormat/>
    <w:rsid w:val="007E440B"/>
    <w:pPr>
      <w:keepNext/>
      <w:jc w:val="center"/>
      <w:outlineLvl w:val="3"/>
    </w:pPr>
    <w:rPr>
      <w:b/>
      <w:bCs/>
    </w:rPr>
  </w:style>
  <w:style w:type="paragraph" w:styleId="Heading5">
    <w:name w:val="heading 5"/>
    <w:basedOn w:val="Normal"/>
    <w:next w:val="Normal"/>
    <w:link w:val="Heading5Char"/>
    <w:uiPriority w:val="99"/>
    <w:qFormat/>
    <w:rsid w:val="007E440B"/>
    <w:pPr>
      <w:keepNext/>
      <w:outlineLvl w:val="4"/>
    </w:pPr>
    <w:rPr>
      <w:b/>
      <w:szCs w:val="20"/>
    </w:rPr>
  </w:style>
  <w:style w:type="paragraph" w:styleId="Heading6">
    <w:name w:val="heading 6"/>
    <w:basedOn w:val="Normal"/>
    <w:next w:val="Normal"/>
    <w:link w:val="Heading6Char"/>
    <w:uiPriority w:val="99"/>
    <w:qFormat/>
    <w:rsid w:val="007E440B"/>
    <w:pPr>
      <w:keepNext/>
      <w:tabs>
        <w:tab w:val="num" w:pos="0"/>
      </w:tabs>
      <w:jc w:val="center"/>
      <w:outlineLvl w:val="5"/>
    </w:pPr>
    <w:rPr>
      <w:b/>
      <w:szCs w:val="20"/>
    </w:rPr>
  </w:style>
  <w:style w:type="paragraph" w:styleId="Heading7">
    <w:name w:val="heading 7"/>
    <w:basedOn w:val="Normal"/>
    <w:next w:val="Normal"/>
    <w:link w:val="Heading7Char"/>
    <w:uiPriority w:val="99"/>
    <w:qFormat/>
    <w:rsid w:val="007E440B"/>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9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D29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D29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D290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D290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D290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D290C"/>
    <w:rPr>
      <w:rFonts w:asciiTheme="minorHAnsi" w:eastAsiaTheme="minorEastAsia" w:hAnsiTheme="minorHAnsi" w:cstheme="minorBidi"/>
      <w:sz w:val="24"/>
      <w:szCs w:val="24"/>
    </w:rPr>
  </w:style>
  <w:style w:type="paragraph" w:styleId="Header">
    <w:name w:val="header"/>
    <w:basedOn w:val="Normal"/>
    <w:link w:val="HeaderChar"/>
    <w:uiPriority w:val="99"/>
    <w:rsid w:val="007E440B"/>
    <w:pPr>
      <w:tabs>
        <w:tab w:val="center" w:pos="4320"/>
        <w:tab w:val="right" w:pos="8640"/>
      </w:tabs>
    </w:pPr>
  </w:style>
  <w:style w:type="character" w:customStyle="1" w:styleId="HeaderChar">
    <w:name w:val="Header Char"/>
    <w:basedOn w:val="DefaultParagraphFont"/>
    <w:link w:val="Header"/>
    <w:uiPriority w:val="99"/>
    <w:semiHidden/>
    <w:rsid w:val="003D290C"/>
    <w:rPr>
      <w:sz w:val="24"/>
      <w:szCs w:val="24"/>
    </w:rPr>
  </w:style>
  <w:style w:type="paragraph" w:styleId="Footer">
    <w:name w:val="footer"/>
    <w:basedOn w:val="Normal"/>
    <w:link w:val="FooterChar"/>
    <w:uiPriority w:val="99"/>
    <w:rsid w:val="007E440B"/>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7E440B"/>
    <w:pPr>
      <w:jc w:val="center"/>
    </w:pPr>
    <w:rPr>
      <w:b/>
      <w:bCs/>
      <w:szCs w:val="20"/>
    </w:rPr>
  </w:style>
  <w:style w:type="character" w:customStyle="1" w:styleId="TitleChar">
    <w:name w:val="Title Char"/>
    <w:basedOn w:val="DefaultParagraphFont"/>
    <w:link w:val="Title"/>
    <w:uiPriority w:val="10"/>
    <w:rsid w:val="003D290C"/>
    <w:rPr>
      <w:rFonts w:asciiTheme="majorHAnsi" w:eastAsiaTheme="majorEastAsia" w:hAnsiTheme="majorHAnsi" w:cstheme="majorBidi"/>
      <w:b/>
      <w:bCs/>
      <w:kern w:val="28"/>
      <w:sz w:val="32"/>
      <w:szCs w:val="32"/>
    </w:rPr>
  </w:style>
  <w:style w:type="character" w:customStyle="1" w:styleId="EmailStyle20">
    <w:name w:val="EmailStyle20"/>
    <w:uiPriority w:val="99"/>
    <w:rsid w:val="007E440B"/>
    <w:rPr>
      <w:rFonts w:ascii="Arial" w:hAnsi="Arial"/>
      <w:color w:val="000000"/>
      <w:sz w:val="20"/>
    </w:rPr>
  </w:style>
  <w:style w:type="paragraph" w:styleId="NormalWeb">
    <w:name w:val="Normal (Web)"/>
    <w:basedOn w:val="Normal"/>
    <w:uiPriority w:val="99"/>
    <w:rsid w:val="007E440B"/>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7E440B"/>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3D290C"/>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7163E2"/>
    <w:pPr>
      <w:ind w:left="720"/>
      <w:contextualSpacing/>
    </w:pPr>
  </w:style>
  <w:style w:type="character" w:styleId="Emphasis">
    <w:name w:val="Emphasis"/>
    <w:basedOn w:val="DefaultParagraphFont"/>
    <w:uiPriority w:val="20"/>
    <w:qFormat/>
    <w:locked/>
    <w:rsid w:val="00856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17966">
      <w:marLeft w:val="0"/>
      <w:marRight w:val="0"/>
      <w:marTop w:val="0"/>
      <w:marBottom w:val="0"/>
      <w:divBdr>
        <w:top w:val="none" w:sz="0" w:space="0" w:color="auto"/>
        <w:left w:val="none" w:sz="0" w:space="0" w:color="auto"/>
        <w:bottom w:val="none" w:sz="0" w:space="0" w:color="auto"/>
        <w:right w:val="none" w:sz="0" w:space="0" w:color="auto"/>
      </w:divBdr>
    </w:div>
    <w:div w:id="1538617968">
      <w:marLeft w:val="0"/>
      <w:marRight w:val="0"/>
      <w:marTop w:val="0"/>
      <w:marBottom w:val="0"/>
      <w:divBdr>
        <w:top w:val="none" w:sz="0" w:space="0" w:color="auto"/>
        <w:left w:val="none" w:sz="0" w:space="0" w:color="auto"/>
        <w:bottom w:val="none" w:sz="0" w:space="0" w:color="auto"/>
        <w:right w:val="none" w:sz="0" w:space="0" w:color="auto"/>
      </w:divBdr>
      <w:divsChild>
        <w:div w:id="1538617967">
          <w:marLeft w:val="0"/>
          <w:marRight w:val="0"/>
          <w:marTop w:val="0"/>
          <w:marBottom w:val="0"/>
          <w:divBdr>
            <w:top w:val="none" w:sz="0" w:space="0" w:color="auto"/>
            <w:left w:val="none" w:sz="0" w:space="0" w:color="auto"/>
            <w:bottom w:val="none" w:sz="0" w:space="0" w:color="auto"/>
            <w:right w:val="none" w:sz="0" w:space="0" w:color="auto"/>
          </w:divBdr>
        </w:div>
        <w:div w:id="1538617970">
          <w:marLeft w:val="0"/>
          <w:marRight w:val="0"/>
          <w:marTop w:val="0"/>
          <w:marBottom w:val="0"/>
          <w:divBdr>
            <w:top w:val="none" w:sz="0" w:space="0" w:color="auto"/>
            <w:left w:val="none" w:sz="0" w:space="0" w:color="auto"/>
            <w:bottom w:val="none" w:sz="0" w:space="0" w:color="auto"/>
            <w:right w:val="none" w:sz="0" w:space="0" w:color="auto"/>
          </w:divBdr>
        </w:div>
      </w:divsChild>
    </w:div>
    <w:div w:id="1538617969">
      <w:marLeft w:val="0"/>
      <w:marRight w:val="0"/>
      <w:marTop w:val="0"/>
      <w:marBottom w:val="0"/>
      <w:divBdr>
        <w:top w:val="none" w:sz="0" w:space="0" w:color="auto"/>
        <w:left w:val="none" w:sz="0" w:space="0" w:color="auto"/>
        <w:bottom w:val="none" w:sz="0" w:space="0" w:color="auto"/>
        <w:right w:val="none" w:sz="0" w:space="0" w:color="auto"/>
      </w:divBdr>
    </w:div>
    <w:div w:id="2022202594">
      <w:bodyDiv w:val="1"/>
      <w:marLeft w:val="0"/>
      <w:marRight w:val="0"/>
      <w:marTop w:val="0"/>
      <w:marBottom w:val="0"/>
      <w:divBdr>
        <w:top w:val="none" w:sz="0" w:space="0" w:color="auto"/>
        <w:left w:val="none" w:sz="0" w:space="0" w:color="auto"/>
        <w:bottom w:val="none" w:sz="0" w:space="0" w:color="auto"/>
        <w:right w:val="none" w:sz="0" w:space="0" w:color="auto"/>
      </w:divBdr>
      <w:divsChild>
        <w:div w:id="1553954614">
          <w:marLeft w:val="0"/>
          <w:marRight w:val="0"/>
          <w:marTop w:val="0"/>
          <w:marBottom w:val="0"/>
          <w:divBdr>
            <w:top w:val="none" w:sz="0" w:space="0" w:color="auto"/>
            <w:left w:val="none" w:sz="0" w:space="0" w:color="auto"/>
            <w:bottom w:val="none" w:sz="0" w:space="0" w:color="auto"/>
            <w:right w:val="none" w:sz="0" w:space="0" w:color="auto"/>
          </w:divBdr>
          <w:divsChild>
            <w:div w:id="1545870367">
              <w:marLeft w:val="0"/>
              <w:marRight w:val="0"/>
              <w:marTop w:val="0"/>
              <w:marBottom w:val="0"/>
              <w:divBdr>
                <w:top w:val="none" w:sz="0" w:space="0" w:color="auto"/>
                <w:left w:val="none" w:sz="0" w:space="0" w:color="auto"/>
                <w:bottom w:val="none" w:sz="0" w:space="0" w:color="auto"/>
                <w:right w:val="none" w:sz="0" w:space="0" w:color="auto"/>
              </w:divBdr>
              <w:divsChild>
                <w:div w:id="526286689">
                  <w:marLeft w:val="0"/>
                  <w:marRight w:val="0"/>
                  <w:marTop w:val="0"/>
                  <w:marBottom w:val="0"/>
                  <w:divBdr>
                    <w:top w:val="none" w:sz="0" w:space="0" w:color="auto"/>
                    <w:left w:val="none" w:sz="0" w:space="0" w:color="auto"/>
                    <w:bottom w:val="none" w:sz="0" w:space="0" w:color="auto"/>
                    <w:right w:val="none" w:sz="0" w:space="0" w:color="auto"/>
                  </w:divBdr>
                  <w:divsChild>
                    <w:div w:id="549537351">
                      <w:marLeft w:val="0"/>
                      <w:marRight w:val="0"/>
                      <w:marTop w:val="0"/>
                      <w:marBottom w:val="0"/>
                      <w:divBdr>
                        <w:top w:val="none" w:sz="0" w:space="0" w:color="auto"/>
                        <w:left w:val="none" w:sz="0" w:space="0" w:color="auto"/>
                        <w:bottom w:val="none" w:sz="0" w:space="0" w:color="auto"/>
                        <w:right w:val="none" w:sz="0" w:space="0" w:color="auto"/>
                      </w:divBdr>
                      <w:divsChild>
                        <w:div w:id="1084374284">
                          <w:marLeft w:val="0"/>
                          <w:marRight w:val="0"/>
                          <w:marTop w:val="0"/>
                          <w:marBottom w:val="0"/>
                          <w:divBdr>
                            <w:top w:val="none" w:sz="0" w:space="0" w:color="auto"/>
                            <w:left w:val="none" w:sz="0" w:space="0" w:color="auto"/>
                            <w:bottom w:val="none" w:sz="0" w:space="0" w:color="auto"/>
                            <w:right w:val="none" w:sz="0" w:space="0" w:color="auto"/>
                          </w:divBdr>
                          <w:divsChild>
                            <w:div w:id="1797990137">
                              <w:marLeft w:val="0"/>
                              <w:marRight w:val="0"/>
                              <w:marTop w:val="0"/>
                              <w:marBottom w:val="0"/>
                              <w:divBdr>
                                <w:top w:val="none" w:sz="0" w:space="0" w:color="auto"/>
                                <w:left w:val="none" w:sz="0" w:space="0" w:color="auto"/>
                                <w:bottom w:val="none" w:sz="0" w:space="0" w:color="auto"/>
                                <w:right w:val="none" w:sz="0" w:space="0" w:color="auto"/>
                              </w:divBdr>
                              <w:divsChild>
                                <w:div w:id="9452511">
                                  <w:marLeft w:val="0"/>
                                  <w:marRight w:val="0"/>
                                  <w:marTop w:val="0"/>
                                  <w:marBottom w:val="0"/>
                                  <w:divBdr>
                                    <w:top w:val="none" w:sz="0" w:space="0" w:color="auto"/>
                                    <w:left w:val="none" w:sz="0" w:space="0" w:color="auto"/>
                                    <w:bottom w:val="none" w:sz="0" w:space="0" w:color="auto"/>
                                    <w:right w:val="none" w:sz="0" w:space="0" w:color="auto"/>
                                  </w:divBdr>
                                  <w:divsChild>
                                    <w:div w:id="161238455">
                                      <w:marLeft w:val="0"/>
                                      <w:marRight w:val="0"/>
                                      <w:marTop w:val="0"/>
                                      <w:marBottom w:val="0"/>
                                      <w:divBdr>
                                        <w:top w:val="none" w:sz="0" w:space="0" w:color="auto"/>
                                        <w:left w:val="none" w:sz="0" w:space="0" w:color="auto"/>
                                        <w:bottom w:val="none" w:sz="0" w:space="0" w:color="auto"/>
                                        <w:right w:val="none" w:sz="0" w:space="0" w:color="auto"/>
                                      </w:divBdr>
                                      <w:divsChild>
                                        <w:div w:id="3862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92981-14D8-4408-9284-930058F6592C}">
  <ds:schemaRefs>
    <ds:schemaRef ds:uri="http://schemas.microsoft.com/sharepoint/v3/contenttype/forms"/>
  </ds:schemaRefs>
</ds:datastoreItem>
</file>

<file path=customXml/itemProps2.xml><?xml version="1.0" encoding="utf-8"?>
<ds:datastoreItem xmlns:ds="http://schemas.openxmlformats.org/officeDocument/2006/customXml" ds:itemID="{B3375805-77B6-4B98-AD31-2996B4A6C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8EAD68-C39D-4449-A1AB-AC3DFCF040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3084</Words>
  <Characters>18597</Characters>
  <Application>Microsoft Office Word</Application>
  <DocSecurity>4</DocSecurity>
  <Lines>357</Lines>
  <Paragraphs>152</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2015-06-25T20:16:00Z</cp:lastPrinted>
  <dcterms:created xsi:type="dcterms:W3CDTF">2019-05-22T19:16:00Z</dcterms:created>
  <dcterms:modified xsi:type="dcterms:W3CDTF">2019-05-22T19:16:00Z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-54597557</vt:i4>
  </property>
</Properties>
</file>