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449E" w14:textId="77777777" w:rsidR="00B777AF" w:rsidRDefault="00230FE4"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7D32C7">
        <w:rPr>
          <w:rFonts w:ascii="Times New Roman" w:hAnsi="Times New Roman"/>
          <w:color w:val="00548C"/>
          <w:sz w:val="36"/>
        </w:rPr>
        <w:t xml:space="preserve">Radial Head Implant </w:t>
      </w:r>
    </w:p>
    <w:p w14:paraId="00772729" w14:textId="77777777" w:rsidR="00480C09" w:rsidRPr="003D7BE7" w:rsidRDefault="00D574CA" w:rsidP="00921621">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w:t>
      </w:r>
      <w:r w:rsidR="005632D8">
        <w:rPr>
          <w:rFonts w:ascii="Times New Roman" w:hAnsi="Times New Roman"/>
          <w:color w:val="00548C"/>
          <w:sz w:val="24"/>
          <w:szCs w:val="24"/>
        </w:rPr>
        <w:t xml:space="preserve"> </w:t>
      </w:r>
      <w:r w:rsidR="00F00FD0">
        <w:rPr>
          <w:rFonts w:ascii="Times New Roman" w:hAnsi="Times New Roman"/>
          <w:color w:val="00548C"/>
          <w:sz w:val="24"/>
          <w:szCs w:val="24"/>
        </w:rPr>
        <w:t>CP.MP.148</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D84442">
        <w:rPr>
          <w:rFonts w:ascii="Times New Roman" w:hAnsi="Times New Roman"/>
          <w:color w:val="00548C"/>
          <w:sz w:val="24"/>
          <w:szCs w:val="24"/>
        </w:rPr>
        <w:tab/>
      </w:r>
      <w:r w:rsidR="00D84442">
        <w:rPr>
          <w:rFonts w:ascii="Times New Roman" w:hAnsi="Times New Roman"/>
          <w:color w:val="00548C"/>
          <w:sz w:val="24"/>
          <w:szCs w:val="24"/>
        </w:rPr>
        <w:tab/>
      </w:r>
      <w:r w:rsidR="00D84442">
        <w:rPr>
          <w:rFonts w:ascii="Times New Roman" w:hAnsi="Times New Roman"/>
          <w:color w:val="00548C"/>
          <w:sz w:val="24"/>
          <w:szCs w:val="24"/>
        </w:rPr>
        <w:tab/>
      </w:r>
      <w:r w:rsidR="00D06A88">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r w:rsidR="00FD3EC9">
        <w:rPr>
          <w:rFonts w:ascii="Times New Roman" w:hAnsi="Times New Roman"/>
          <w:color w:val="00548C"/>
          <w:sz w:val="24"/>
          <w:szCs w:val="24"/>
        </w:rPr>
        <w:t xml:space="preserve"> </w:t>
      </w:r>
    </w:p>
    <w:p w14:paraId="7626077D" w14:textId="1DD186E2"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30079B">
        <w:rPr>
          <w:rFonts w:ascii="Times New Roman" w:hAnsi="Times New Roman"/>
          <w:color w:val="00548C"/>
          <w:sz w:val="24"/>
          <w:szCs w:val="24"/>
        </w:rPr>
        <w:t>0</w:t>
      </w:r>
      <w:r w:rsidR="00E36D55">
        <w:rPr>
          <w:rFonts w:ascii="Times New Roman" w:hAnsi="Times New Roman"/>
          <w:color w:val="00548C"/>
          <w:sz w:val="24"/>
          <w:szCs w:val="24"/>
        </w:rPr>
        <w:t>5</w:t>
      </w:r>
      <w:r w:rsidR="0030079B">
        <w:rPr>
          <w:rFonts w:ascii="Times New Roman" w:hAnsi="Times New Roman"/>
          <w:color w:val="00548C"/>
          <w:sz w:val="24"/>
          <w:szCs w:val="24"/>
        </w:rPr>
        <w:t>/19</w:t>
      </w:r>
    </w:p>
    <w:p w14:paraId="2BFA3E13" w14:textId="77777777" w:rsidR="00875924" w:rsidRDefault="003A52B9"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3A2C2111"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49FD4B90"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548AA9B"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1FC5C73D" w14:textId="77777777" w:rsidR="00583376" w:rsidRPr="00A44BDE" w:rsidRDefault="00583376" w:rsidP="00A44BDE">
      <w:pPr>
        <w:pStyle w:val="Heading2"/>
        <w:rPr>
          <w:u w:val="none"/>
        </w:rPr>
      </w:pPr>
      <w:r w:rsidRPr="00A44BDE">
        <w:rPr>
          <w:u w:val="none"/>
        </w:rPr>
        <w:t xml:space="preserve">Description </w:t>
      </w:r>
    </w:p>
    <w:p w14:paraId="01793B37" w14:textId="77777777" w:rsidR="00D84442" w:rsidRPr="004013D2" w:rsidRDefault="00EA7D31" w:rsidP="00196935">
      <w:r w:rsidRPr="004013D2">
        <w:t>Radial head implant</w:t>
      </w:r>
      <w:r w:rsidR="00D06A88">
        <w:t>,</w:t>
      </w:r>
      <w:r w:rsidRPr="004013D2">
        <w:t xml:space="preserve"> or arthroplasty</w:t>
      </w:r>
      <w:r w:rsidR="00D06A88">
        <w:t>,</w:t>
      </w:r>
      <w:r w:rsidRPr="004013D2">
        <w:t xml:space="preserve"> </w:t>
      </w:r>
      <w:r w:rsidR="00D84442" w:rsidRPr="004013D2">
        <w:t xml:space="preserve">was developed for </w:t>
      </w:r>
      <w:r w:rsidR="00D84442" w:rsidRPr="004013D2">
        <w:rPr>
          <w:lang w:val="en"/>
        </w:rPr>
        <w:t xml:space="preserve">the treatment of </w:t>
      </w:r>
      <w:r w:rsidR="00D84442" w:rsidRPr="004013D2">
        <w:t>complex radial head fractures, and</w:t>
      </w:r>
      <w:r w:rsidR="00C1304C" w:rsidRPr="004013D2">
        <w:t xml:space="preserve"> severe</w:t>
      </w:r>
      <w:r w:rsidR="00D84442" w:rsidRPr="004013D2">
        <w:t xml:space="preserve"> arthritic conditions</w:t>
      </w:r>
      <w:r w:rsidR="004013D2" w:rsidRPr="004013D2">
        <w:t xml:space="preserve"> causing radial head joint destruction</w:t>
      </w:r>
      <w:r w:rsidR="00D84442" w:rsidRPr="004013D2">
        <w:t xml:space="preserve">. </w:t>
      </w:r>
    </w:p>
    <w:p w14:paraId="22E16E78" w14:textId="77777777" w:rsidR="00D84442" w:rsidRPr="004013D2" w:rsidRDefault="00D84442" w:rsidP="00196935"/>
    <w:p w14:paraId="3D57C1FE" w14:textId="77777777" w:rsidR="00583376" w:rsidRPr="00B777AF" w:rsidRDefault="00583376">
      <w:pPr>
        <w:pStyle w:val="Heading2"/>
        <w:rPr>
          <w:u w:val="none"/>
        </w:rPr>
      </w:pPr>
      <w:r w:rsidRPr="00B777AF">
        <w:rPr>
          <w:u w:val="none"/>
        </w:rPr>
        <w:t>Policy/Criteria</w:t>
      </w:r>
      <w:r w:rsidR="004013D2">
        <w:rPr>
          <w:u w:val="none"/>
        </w:rPr>
        <w:t xml:space="preserve"> </w:t>
      </w:r>
    </w:p>
    <w:p w14:paraId="6ABA0ECA" w14:textId="77777777" w:rsidR="00EC30F2" w:rsidRDefault="00F74762" w:rsidP="00DD3CD4">
      <w:pPr>
        <w:pStyle w:val="ListParagraph"/>
        <w:numPr>
          <w:ilvl w:val="0"/>
          <w:numId w:val="29"/>
        </w:numPr>
        <w:ind w:left="360" w:hanging="360"/>
      </w:pPr>
      <w:r w:rsidRPr="00EC30F2">
        <w:rPr>
          <w:bCs/>
          <w:color w:val="000000"/>
        </w:rPr>
        <w:t>It is the policy of</w:t>
      </w:r>
      <w:r w:rsidR="00E97C17" w:rsidRPr="00EC30F2">
        <w:rPr>
          <w:bCs/>
          <w:color w:val="000000"/>
        </w:rPr>
        <w:t xml:space="preserve"> </w:t>
      </w:r>
      <w:r w:rsidR="00A83658" w:rsidRPr="00EC30F2">
        <w:rPr>
          <w:bCs/>
          <w:color w:val="000000"/>
        </w:rPr>
        <w:t>h</w:t>
      </w:r>
      <w:r w:rsidR="00E97C17" w:rsidRPr="00EC30F2">
        <w:rPr>
          <w:bCs/>
          <w:color w:val="000000"/>
        </w:rPr>
        <w:t xml:space="preserve">ealth </w:t>
      </w:r>
      <w:r w:rsidR="00A83658" w:rsidRPr="00EC30F2">
        <w:rPr>
          <w:bCs/>
          <w:color w:val="000000"/>
        </w:rPr>
        <w:t>p</w:t>
      </w:r>
      <w:r w:rsidR="00E97C17" w:rsidRPr="00EC30F2">
        <w:rPr>
          <w:bCs/>
          <w:color w:val="000000"/>
        </w:rPr>
        <w:t>lans affiliated with</w:t>
      </w:r>
      <w:r w:rsidRPr="00EC30F2">
        <w:rPr>
          <w:bCs/>
          <w:color w:val="000000"/>
        </w:rPr>
        <w:t xml:space="preserve"> Centene Corporation</w:t>
      </w:r>
      <w:r w:rsidR="00C75BD4" w:rsidRPr="00EC30F2">
        <w:rPr>
          <w:bCs/>
          <w:color w:val="000000"/>
          <w:vertAlign w:val="superscript"/>
        </w:rPr>
        <w:t>®</w:t>
      </w:r>
      <w:r w:rsidRPr="00EC30F2">
        <w:rPr>
          <w:bCs/>
          <w:color w:val="000000"/>
        </w:rPr>
        <w:t xml:space="preserve"> </w:t>
      </w:r>
      <w:r w:rsidR="00C96847">
        <w:t xml:space="preserve">that </w:t>
      </w:r>
      <w:r w:rsidR="00EA1FDB">
        <w:t>radial head implants are</w:t>
      </w:r>
      <w:r w:rsidR="00C96847">
        <w:t xml:space="preserve"> </w:t>
      </w:r>
      <w:r w:rsidR="00C96847" w:rsidRPr="00EC30F2">
        <w:rPr>
          <w:b/>
        </w:rPr>
        <w:t>medically necessary</w:t>
      </w:r>
      <w:r w:rsidR="00C96847">
        <w:t xml:space="preserve"> </w:t>
      </w:r>
      <w:r w:rsidR="00EC30F2">
        <w:t>when meeting the following:</w:t>
      </w:r>
    </w:p>
    <w:p w14:paraId="7ED657E9" w14:textId="77777777" w:rsidR="00C96847" w:rsidRDefault="00EC30F2" w:rsidP="00DD3CD4">
      <w:pPr>
        <w:pStyle w:val="ListParagraph"/>
        <w:numPr>
          <w:ilvl w:val="0"/>
          <w:numId w:val="28"/>
        </w:numPr>
        <w:ind w:left="720"/>
      </w:pPr>
      <w:r>
        <w:t>Has one of the following indications:</w:t>
      </w:r>
    </w:p>
    <w:p w14:paraId="7FF7817F" w14:textId="6023E527" w:rsidR="003F3D44" w:rsidRDefault="00F059B2" w:rsidP="00DD3CD4">
      <w:pPr>
        <w:numPr>
          <w:ilvl w:val="2"/>
          <w:numId w:val="11"/>
        </w:numPr>
        <w:ind w:left="990" w:hanging="270"/>
      </w:pPr>
      <w:r>
        <w:t>Type III comminut</w:t>
      </w:r>
      <w:r w:rsidR="005632D8">
        <w:t>ed fractures of the radial head</w:t>
      </w:r>
      <w:r w:rsidR="007C069A">
        <w:t xml:space="preserve"> or fracture is deemed irreparable intraoperatively</w:t>
      </w:r>
      <w:r w:rsidR="005632D8">
        <w:t xml:space="preserve">; </w:t>
      </w:r>
      <w:r w:rsidR="002D5FF7">
        <w:t>or</w:t>
      </w:r>
    </w:p>
    <w:p w14:paraId="552FEF14" w14:textId="77777777" w:rsidR="00EC30F2" w:rsidRDefault="00F059B2" w:rsidP="00DD3CD4">
      <w:pPr>
        <w:numPr>
          <w:ilvl w:val="2"/>
          <w:numId w:val="11"/>
        </w:numPr>
        <w:ind w:left="990" w:hanging="270"/>
      </w:pPr>
      <w:r>
        <w:t>Radiographic evidence of radial head joint destruction, too far advanced to benefit from radial head excision and synovectomy</w:t>
      </w:r>
      <w:r w:rsidR="005C4952">
        <w:t>,</w:t>
      </w:r>
      <w:r>
        <w:t xml:space="preserve"> with demonstrated resistance or failure </w:t>
      </w:r>
      <w:r w:rsidR="00C1304C">
        <w:t xml:space="preserve">of </w:t>
      </w:r>
      <w:r>
        <w:t>conservative medical treatment</w:t>
      </w:r>
      <w:r w:rsidR="00EC30F2">
        <w:t>;</w:t>
      </w:r>
    </w:p>
    <w:p w14:paraId="2AF3BB8B" w14:textId="77777777" w:rsidR="00EC30F2" w:rsidRDefault="00EC30F2" w:rsidP="00DD3CD4">
      <w:pPr>
        <w:pStyle w:val="ListParagraph"/>
        <w:numPr>
          <w:ilvl w:val="1"/>
          <w:numId w:val="11"/>
        </w:numPr>
        <w:ind w:left="720"/>
      </w:pPr>
      <w:r>
        <w:t>Has none of the following contraindications:</w:t>
      </w:r>
    </w:p>
    <w:p w14:paraId="636E7ED6" w14:textId="228E9496" w:rsidR="00EC30F2" w:rsidRDefault="000055A0" w:rsidP="00DD3CD4">
      <w:pPr>
        <w:pStyle w:val="ListParagraph"/>
        <w:numPr>
          <w:ilvl w:val="0"/>
          <w:numId w:val="30"/>
        </w:numPr>
        <w:ind w:left="1080"/>
      </w:pPr>
      <w:r>
        <w:t>Untreated or unresolved</w:t>
      </w:r>
      <w:r w:rsidR="00EC30F2">
        <w:t xml:space="preserve"> elbow sepsis</w:t>
      </w:r>
      <w:r>
        <w:t xml:space="preserve"> within the past 12 months</w:t>
      </w:r>
      <w:r w:rsidR="00EC30F2">
        <w:t>;</w:t>
      </w:r>
    </w:p>
    <w:p w14:paraId="2104D28D" w14:textId="77777777" w:rsidR="00EC30F2" w:rsidRDefault="00EC30F2" w:rsidP="00DD3CD4">
      <w:pPr>
        <w:pStyle w:val="ListParagraph"/>
        <w:numPr>
          <w:ilvl w:val="0"/>
          <w:numId w:val="30"/>
        </w:numPr>
        <w:ind w:left="1080"/>
      </w:pPr>
      <w:r>
        <w:t>P</w:t>
      </w:r>
      <w:r w:rsidRPr="007A2130">
        <w:t>revious fascial or other interpositional arthroplasty</w:t>
      </w:r>
      <w:r w:rsidR="009915E0">
        <w:t>, or</w:t>
      </w:r>
      <w:r w:rsidRPr="007A2130">
        <w:t xml:space="preserve"> previous hinged arthroplasty with the use of a capitellocondylar implant</w:t>
      </w:r>
      <w:r>
        <w:t>;</w:t>
      </w:r>
    </w:p>
    <w:p w14:paraId="510E39E6" w14:textId="77777777" w:rsidR="00EC30F2" w:rsidRDefault="00EC30F2" w:rsidP="00DD3CD4">
      <w:pPr>
        <w:pStyle w:val="ListParagraph"/>
        <w:numPr>
          <w:ilvl w:val="0"/>
          <w:numId w:val="30"/>
        </w:numPr>
        <w:ind w:left="1080"/>
      </w:pPr>
      <w:r>
        <w:t xml:space="preserve">Excessive bone loss </w:t>
      </w:r>
      <w:r w:rsidRPr="007A2130">
        <w:t xml:space="preserve">on either side of the joint </w:t>
      </w:r>
      <w:r w:rsidR="009915E0">
        <w:t xml:space="preserve">or </w:t>
      </w:r>
      <w:r w:rsidRPr="007A2130">
        <w:t xml:space="preserve">poorly functioning flexor </w:t>
      </w:r>
      <w:r w:rsidR="009915E0">
        <w:t>or</w:t>
      </w:r>
      <w:r w:rsidRPr="007A2130">
        <w:t xml:space="preserve"> extensor mechanism</w:t>
      </w:r>
      <w:r>
        <w:t>.</w:t>
      </w:r>
    </w:p>
    <w:p w14:paraId="29CFFBC1" w14:textId="77777777" w:rsidR="003F3D44" w:rsidRDefault="003F3D44" w:rsidP="00DD3CD4">
      <w:pPr>
        <w:ind w:left="1080"/>
      </w:pPr>
    </w:p>
    <w:p w14:paraId="2AF9F4BB" w14:textId="77777777" w:rsidR="007A2130" w:rsidRDefault="00F059B2" w:rsidP="00DD3CD4">
      <w:pPr>
        <w:pStyle w:val="ListParagraph"/>
        <w:numPr>
          <w:ilvl w:val="0"/>
          <w:numId w:val="25"/>
        </w:numPr>
        <w:ind w:left="360"/>
      </w:pPr>
      <w:r>
        <w:t xml:space="preserve">It is the policy of health plans affiliated with Centene Corporation that radial head implants are </w:t>
      </w:r>
      <w:r w:rsidRPr="00F059B2">
        <w:rPr>
          <w:b/>
        </w:rPr>
        <w:t>not medically necessary</w:t>
      </w:r>
      <w:r>
        <w:t xml:space="preserve"> </w:t>
      </w:r>
      <w:r w:rsidR="007A2130">
        <w:t xml:space="preserve">for any other </w:t>
      </w:r>
      <w:r w:rsidR="005C4952">
        <w:t>indications</w:t>
      </w:r>
      <w:r w:rsidR="007A2130">
        <w:t xml:space="preserve"> than those specified above</w:t>
      </w:r>
      <w:r w:rsidR="003F1990">
        <w:t>.</w:t>
      </w:r>
    </w:p>
    <w:p w14:paraId="522E66B3" w14:textId="77777777" w:rsidR="003F3D44" w:rsidRDefault="003F3D44" w:rsidP="00F059B2">
      <w:pPr>
        <w:ind w:left="2160"/>
      </w:pPr>
    </w:p>
    <w:p w14:paraId="5926C6C7" w14:textId="77777777" w:rsidR="00FB0592" w:rsidRDefault="00FB0592" w:rsidP="00FB0592">
      <w:pPr>
        <w:pStyle w:val="Heading2"/>
        <w:rPr>
          <w:u w:val="none"/>
        </w:rPr>
      </w:pPr>
      <w:r w:rsidRPr="00B777AF">
        <w:rPr>
          <w:u w:val="none"/>
        </w:rPr>
        <w:t>Background</w:t>
      </w:r>
    </w:p>
    <w:p w14:paraId="3FA4B3C2" w14:textId="77777777" w:rsidR="00963F54" w:rsidRDefault="00963F54" w:rsidP="003F3D44">
      <w:pPr>
        <w:rPr>
          <w:i/>
        </w:rPr>
      </w:pPr>
      <w:r w:rsidRPr="00963F54">
        <w:rPr>
          <w:i/>
        </w:rPr>
        <w:t xml:space="preserve">Radial Head Fractures </w:t>
      </w:r>
    </w:p>
    <w:p w14:paraId="2C90EFCC" w14:textId="77777777" w:rsidR="0095527B" w:rsidRDefault="00D06A88" w:rsidP="003F3D44">
      <w:r>
        <w:t>Radial-</w:t>
      </w:r>
      <w:r w:rsidR="0095527B">
        <w:t xml:space="preserve">head and </w:t>
      </w:r>
      <w:r>
        <w:t>-</w:t>
      </w:r>
      <w:r w:rsidR="0095527B">
        <w:t xml:space="preserve">neck fractures are common and occur in about 30% of elbow fractures. The following modified Mason classification is frequently used to describe the fractures: </w:t>
      </w:r>
    </w:p>
    <w:p w14:paraId="4F4C222D" w14:textId="77777777" w:rsidR="0095527B" w:rsidRDefault="0095527B" w:rsidP="0095527B">
      <w:pPr>
        <w:pStyle w:val="ListParagraph"/>
        <w:numPr>
          <w:ilvl w:val="0"/>
          <w:numId w:val="23"/>
        </w:numPr>
        <w:tabs>
          <w:tab w:val="left" w:pos="450"/>
        </w:tabs>
        <w:ind w:left="720"/>
      </w:pPr>
      <w:r>
        <w:t xml:space="preserve">    Mason Type I – nondisplaced fractures (displacement </w:t>
      </w:r>
      <w:r w:rsidRPr="0095527B">
        <w:rPr>
          <w:u w:val="single"/>
        </w:rPr>
        <w:t>&lt;</w:t>
      </w:r>
      <w:r>
        <w:rPr>
          <w:b/>
          <w:u w:val="single"/>
        </w:rPr>
        <w:t xml:space="preserve"> </w:t>
      </w:r>
      <w:r w:rsidRPr="0095527B">
        <w:t>2 mm</w:t>
      </w:r>
      <w:r w:rsidR="000E4B25">
        <w:t>)</w:t>
      </w:r>
      <w:r w:rsidR="006C58CB">
        <w:t>;</w:t>
      </w:r>
    </w:p>
    <w:p w14:paraId="36C7F39C" w14:textId="77777777" w:rsidR="000E4B25" w:rsidRDefault="000E4B25" w:rsidP="000E4B25">
      <w:pPr>
        <w:pStyle w:val="ListParagraph"/>
        <w:numPr>
          <w:ilvl w:val="0"/>
          <w:numId w:val="23"/>
        </w:numPr>
        <w:tabs>
          <w:tab w:val="left" w:pos="450"/>
          <w:tab w:val="left" w:pos="720"/>
        </w:tabs>
        <w:ind w:left="720"/>
      </w:pPr>
      <w:r>
        <w:t xml:space="preserve">    Mason Type II – displaced fractures &gt; 2 mm</w:t>
      </w:r>
      <w:r w:rsidR="006C58CB">
        <w:t>;</w:t>
      </w:r>
    </w:p>
    <w:p w14:paraId="2FD98AA7" w14:textId="77777777" w:rsidR="004E793F" w:rsidRPr="004E793F" w:rsidRDefault="000E4B25" w:rsidP="004E793F">
      <w:pPr>
        <w:pStyle w:val="ListParagraph"/>
        <w:numPr>
          <w:ilvl w:val="0"/>
          <w:numId w:val="23"/>
        </w:numPr>
        <w:tabs>
          <w:tab w:val="left" w:pos="450"/>
          <w:tab w:val="left" w:pos="720"/>
        </w:tabs>
        <w:ind w:left="720"/>
      </w:pPr>
      <w:r>
        <w:t xml:space="preserve">    Mason Type III – comminuted fractures </w:t>
      </w:r>
      <w:r w:rsidR="004E793F">
        <w:t xml:space="preserve">in which bone is broken, splintered or crushed into a number of pieces. Treatment includes </w:t>
      </w:r>
      <w:r w:rsidR="004E793F" w:rsidRPr="004E793F">
        <w:t>excision, operative fixation and replacement arthroplasty</w:t>
      </w:r>
      <w:r w:rsidR="006C58CB">
        <w:t>;</w:t>
      </w:r>
    </w:p>
    <w:p w14:paraId="47A9007C" w14:textId="77777777" w:rsidR="000E4B25" w:rsidRPr="0095527B" w:rsidRDefault="000E4B25" w:rsidP="000E4B25">
      <w:pPr>
        <w:pStyle w:val="ListParagraph"/>
        <w:numPr>
          <w:ilvl w:val="0"/>
          <w:numId w:val="23"/>
        </w:numPr>
        <w:tabs>
          <w:tab w:val="left" w:pos="450"/>
          <w:tab w:val="left" w:pos="720"/>
        </w:tabs>
        <w:ind w:left="720"/>
      </w:pPr>
      <w:r>
        <w:t xml:space="preserve">    Mason Type IV – radial head fracture associated with elbow </w:t>
      </w:r>
      <w:r w:rsidR="00A51AA0">
        <w:t>fracture/dislocation</w:t>
      </w:r>
      <w:r w:rsidR="00C101C1">
        <w:t>.</w:t>
      </w:r>
      <w:r w:rsidR="00A51AA0">
        <w:t xml:space="preserve"> </w:t>
      </w:r>
      <w:r w:rsidR="006C0EC5" w:rsidRPr="006C0EC5">
        <w:rPr>
          <w:vertAlign w:val="superscript"/>
        </w:rPr>
        <w:t>8</w:t>
      </w:r>
    </w:p>
    <w:p w14:paraId="39846A64" w14:textId="77777777" w:rsidR="0095527B" w:rsidRDefault="0095527B" w:rsidP="003F3D44"/>
    <w:p w14:paraId="27F253E6" w14:textId="77777777" w:rsidR="007A2130" w:rsidRPr="004013D2" w:rsidRDefault="006D2D5C" w:rsidP="003F3D44">
      <w:pPr>
        <w:rPr>
          <w:vertAlign w:val="superscript"/>
        </w:rPr>
      </w:pPr>
      <w:r w:rsidRPr="006D2D5C">
        <w:t>Immediate orthopedic evaluation is necessary for any individual with an open fracture, neurovascular compromise</w:t>
      </w:r>
      <w:r w:rsidR="00D06A88">
        <w:t>,</w:t>
      </w:r>
      <w:r w:rsidRPr="006D2D5C">
        <w:t xml:space="preserve"> or fracture dislocation</w:t>
      </w:r>
      <w:r>
        <w:t xml:space="preserve">. </w:t>
      </w:r>
      <w:r w:rsidR="00A07539">
        <w:t>Immediate reduction is critical in pat</w:t>
      </w:r>
      <w:r w:rsidR="00D06A88">
        <w:t>ients who present with a radial-</w:t>
      </w:r>
      <w:r w:rsidR="00A07539">
        <w:t xml:space="preserve">head or </w:t>
      </w:r>
      <w:r w:rsidR="00D06A88">
        <w:t>-</w:t>
      </w:r>
      <w:r w:rsidR="00A07539">
        <w:t>neck fracture and elbow dislocation</w:t>
      </w:r>
      <w:r w:rsidR="00C101C1">
        <w:t xml:space="preserve">. </w:t>
      </w:r>
      <w:r w:rsidR="00A07539">
        <w:t>The longer the joint is allowed to remain dislocated, the more difficult the reduction and the greater the risk of avascular necrosis.</w:t>
      </w:r>
      <w:r w:rsidR="00A51AA0">
        <w:t xml:space="preserve"> </w:t>
      </w:r>
      <w:r w:rsidR="004013D2" w:rsidRPr="004013D2">
        <w:rPr>
          <w:vertAlign w:val="superscript"/>
        </w:rPr>
        <w:t>8</w:t>
      </w:r>
    </w:p>
    <w:p w14:paraId="168962AB" w14:textId="77777777" w:rsidR="002329ED" w:rsidRPr="006C0EC5" w:rsidRDefault="002329ED" w:rsidP="003F3D44"/>
    <w:p w14:paraId="2F9AF1DE" w14:textId="77777777" w:rsidR="004E061A" w:rsidRDefault="004E061A" w:rsidP="003F3D44">
      <w:pPr>
        <w:rPr>
          <w:i/>
        </w:rPr>
      </w:pPr>
    </w:p>
    <w:p w14:paraId="663DB0E1" w14:textId="77777777" w:rsidR="003C5FE5" w:rsidRDefault="003C5FE5" w:rsidP="003F3D44">
      <w:pPr>
        <w:rPr>
          <w:i/>
        </w:rPr>
      </w:pPr>
      <w:r w:rsidRPr="001E3B4C">
        <w:rPr>
          <w:i/>
        </w:rPr>
        <w:t xml:space="preserve">Studies </w:t>
      </w:r>
    </w:p>
    <w:p w14:paraId="67B7A2C5" w14:textId="77777777" w:rsidR="003C5FE5" w:rsidRPr="003C5FE5" w:rsidRDefault="004E061A" w:rsidP="003C5FE5">
      <w:r w:rsidRPr="004E061A">
        <w:rPr>
          <w:lang w:val="en"/>
        </w:rPr>
        <w:t xml:space="preserve">The peer-reviewed evidence for optimal management of Mason type III radial head </w:t>
      </w:r>
      <w:r>
        <w:rPr>
          <w:lang w:val="en"/>
        </w:rPr>
        <w:t xml:space="preserve">fractures </w:t>
      </w:r>
      <w:r w:rsidRPr="004E061A">
        <w:rPr>
          <w:lang w:val="en"/>
        </w:rPr>
        <w:t xml:space="preserve">is unclear, since there is difficulty performing randomized controlled trials due to the small numbers of </w:t>
      </w:r>
      <w:r>
        <w:rPr>
          <w:lang w:val="en"/>
        </w:rPr>
        <w:t xml:space="preserve">these types of fractures. </w:t>
      </w:r>
      <w:r w:rsidR="00FF31B4" w:rsidRPr="00FF31B4">
        <w:t>Type III comminuted fractures often do poorly with open reduction internal fixation</w:t>
      </w:r>
      <w:r w:rsidR="00452951">
        <w:t>, especially when there</w:t>
      </w:r>
      <w:r w:rsidR="005C4952">
        <w:t xml:space="preserve"> are more than three fragments;</w:t>
      </w:r>
      <w:r w:rsidR="00452951">
        <w:t xml:space="preserve"> in addition,</w:t>
      </w:r>
      <w:r w:rsidR="00FF31B4" w:rsidRPr="00FF31B4">
        <w:t xml:space="preserve"> there is a risk of posterior interosseous nerve injury with the procedure</w:t>
      </w:r>
      <w:r w:rsidR="00FF31B4">
        <w:t xml:space="preserve">. </w:t>
      </w:r>
      <w:r w:rsidR="003C5FE5">
        <w:t>A</w:t>
      </w:r>
      <w:r w:rsidR="003C5FE5" w:rsidRPr="003C5FE5">
        <w:t xml:space="preserve">lthough many of the studies related to radial head implants are small, these types of prostheses are </w:t>
      </w:r>
      <w:r w:rsidR="008D0D48">
        <w:t>noted as</w:t>
      </w:r>
      <w:r w:rsidR="003C5FE5" w:rsidRPr="003C5FE5">
        <w:t xml:space="preserve"> </w:t>
      </w:r>
      <w:r w:rsidR="00AA0CEA">
        <w:t xml:space="preserve">an </w:t>
      </w:r>
      <w:r w:rsidR="003C5FE5" w:rsidRPr="003C5FE5">
        <w:t>acceptable option in cases of</w:t>
      </w:r>
      <w:r w:rsidR="002329ED">
        <w:t xml:space="preserve"> </w:t>
      </w:r>
      <w:r w:rsidR="003C5FE5" w:rsidRPr="003C5FE5">
        <w:t>Type III comminuted fractures. Many of these fractures will have a ligamentous injury between the radius and ulna shaft in the forearm, which are termed Essex-Lopresti injuries. Excision of a radial head fracture that has an associated Essex Lopresti injury will cause very significant shortening and wrist morbi</w:t>
      </w:r>
      <w:r w:rsidR="00B903A7">
        <w:t>di</w:t>
      </w:r>
      <w:r w:rsidR="003C5FE5" w:rsidRPr="003C5FE5">
        <w:t>ty.</w:t>
      </w:r>
      <w:r>
        <w:t xml:space="preserve"> </w:t>
      </w:r>
      <w:r w:rsidRPr="004E061A">
        <w:rPr>
          <w:vertAlign w:val="superscript"/>
        </w:rPr>
        <w:t>3</w:t>
      </w:r>
      <w:r>
        <w:rPr>
          <w:vertAlign w:val="superscript"/>
        </w:rPr>
        <w:t>,</w:t>
      </w:r>
      <w:r w:rsidRPr="004E061A">
        <w:rPr>
          <w:vertAlign w:val="superscript"/>
        </w:rPr>
        <w:t xml:space="preserve"> 4</w:t>
      </w:r>
      <w:r>
        <w:rPr>
          <w:vertAlign w:val="superscript"/>
        </w:rPr>
        <w:t>,</w:t>
      </w:r>
      <w:r w:rsidRPr="004E061A">
        <w:rPr>
          <w:vertAlign w:val="superscript"/>
        </w:rPr>
        <w:t xml:space="preserve"> 5</w:t>
      </w:r>
      <w:r w:rsidR="00FF31B4">
        <w:rPr>
          <w:vertAlign w:val="superscript"/>
        </w:rPr>
        <w:t>, 9</w:t>
      </w:r>
      <w:r>
        <w:t xml:space="preserve"> </w:t>
      </w:r>
    </w:p>
    <w:p w14:paraId="0AEC4326" w14:textId="77777777" w:rsidR="003C5FE5" w:rsidRPr="003C5FE5" w:rsidRDefault="003C5FE5" w:rsidP="003C5FE5"/>
    <w:p w14:paraId="24D8CBA5" w14:textId="77777777" w:rsidR="003C5FE5" w:rsidRPr="006C0EC5" w:rsidRDefault="003C5FE5" w:rsidP="003C5FE5">
      <w:pPr>
        <w:rPr>
          <w:vertAlign w:val="superscript"/>
        </w:rPr>
      </w:pPr>
      <w:r w:rsidRPr="003C5FE5">
        <w:t>The radial head implant is also beneficial in patients with rheumatoid arthritis with radiographic evidence of joint destruction, which is too far advanced to benefit from radial head excision and synovectomy.</w:t>
      </w:r>
      <w:r>
        <w:t xml:space="preserve"> </w:t>
      </w:r>
      <w:r w:rsidRPr="003C5FE5">
        <w:t xml:space="preserve"> In patients with rheumatoid arthritis, arthroplasty should be considered only after </w:t>
      </w:r>
      <w:r>
        <w:t xml:space="preserve">conservative </w:t>
      </w:r>
      <w:r w:rsidRPr="003C5FE5">
        <w:t>medical treatment has failed</w:t>
      </w:r>
      <w:r>
        <w:t>;</w:t>
      </w:r>
      <w:r w:rsidR="006D2D5C">
        <w:t xml:space="preserve"> </w:t>
      </w:r>
      <w:r>
        <w:t xml:space="preserve">this would include </w:t>
      </w:r>
      <w:r w:rsidRPr="003C5FE5">
        <w:t>pharmacologic therapy consisting of combinations of salicylates, nonsteroidal anti-inflammatory drugs, disease modifying antirheumatic drugs</w:t>
      </w:r>
      <w:r>
        <w:t>,</w:t>
      </w:r>
      <w:r w:rsidRPr="003C5FE5">
        <w:t xml:space="preserve"> and/or glucocorticoids for 3-6 months.</w:t>
      </w:r>
      <w:r>
        <w:t xml:space="preserve"> </w:t>
      </w:r>
      <w:r w:rsidR="006C0EC5" w:rsidRPr="006C0EC5">
        <w:rPr>
          <w:vertAlign w:val="superscript"/>
        </w:rPr>
        <w:t>7</w:t>
      </w:r>
    </w:p>
    <w:p w14:paraId="2C092D51" w14:textId="77777777" w:rsidR="005020A1" w:rsidRDefault="005020A1" w:rsidP="00197FD1"/>
    <w:p w14:paraId="771C54FD" w14:textId="77777777" w:rsidR="00197FD1" w:rsidRPr="00AF731C" w:rsidRDefault="006C0EC5" w:rsidP="00197FD1">
      <w:r w:rsidRPr="00AF731C">
        <w:rPr>
          <w:lang w:val="en"/>
        </w:rPr>
        <w:t xml:space="preserve">In summary, </w:t>
      </w:r>
      <w:r w:rsidR="00AF731C" w:rsidRPr="00AF731C">
        <w:rPr>
          <w:lang w:val="en"/>
        </w:rPr>
        <w:t>multicenter</w:t>
      </w:r>
      <w:r w:rsidR="00D06A88">
        <w:rPr>
          <w:lang w:val="en"/>
        </w:rPr>
        <w:t>,</w:t>
      </w:r>
      <w:r w:rsidR="00AF731C" w:rsidRPr="00AF731C">
        <w:rPr>
          <w:lang w:val="en"/>
        </w:rPr>
        <w:t xml:space="preserve"> long-term</w:t>
      </w:r>
      <w:r w:rsidR="00D06A88">
        <w:rPr>
          <w:lang w:val="en"/>
        </w:rPr>
        <w:t>, evidence-</w:t>
      </w:r>
      <w:r w:rsidR="00AF731C">
        <w:rPr>
          <w:lang w:val="en"/>
        </w:rPr>
        <w:t>based</w:t>
      </w:r>
      <w:r w:rsidR="00D06A88">
        <w:rPr>
          <w:lang w:val="en"/>
        </w:rPr>
        <w:t>,</w:t>
      </w:r>
      <w:r w:rsidR="00AF731C" w:rsidRPr="00AF731C">
        <w:rPr>
          <w:lang w:val="en"/>
        </w:rPr>
        <w:t xml:space="preserve"> </w:t>
      </w:r>
      <w:r w:rsidR="00D06A88">
        <w:rPr>
          <w:lang w:val="en"/>
        </w:rPr>
        <w:t>peer-</w:t>
      </w:r>
      <w:r w:rsidRPr="00AF731C">
        <w:rPr>
          <w:lang w:val="en"/>
        </w:rPr>
        <w:t xml:space="preserve">reviewed </w:t>
      </w:r>
      <w:r w:rsidR="00D06A88">
        <w:rPr>
          <w:lang w:val="en"/>
        </w:rPr>
        <w:t>studies or</w:t>
      </w:r>
      <w:r w:rsidRPr="00AF731C">
        <w:rPr>
          <w:lang w:val="en"/>
        </w:rPr>
        <w:t xml:space="preserve"> clinical </w:t>
      </w:r>
      <w:r w:rsidR="00197FD1" w:rsidRPr="00AF731C">
        <w:rPr>
          <w:lang w:val="en"/>
        </w:rPr>
        <w:t>trial</w:t>
      </w:r>
      <w:r w:rsidR="00C56AFC">
        <w:rPr>
          <w:lang w:val="en"/>
        </w:rPr>
        <w:t>s</w:t>
      </w:r>
      <w:r w:rsidR="00197FD1" w:rsidRPr="00AF731C">
        <w:rPr>
          <w:lang w:val="en"/>
        </w:rPr>
        <w:t xml:space="preserve"> would </w:t>
      </w:r>
      <w:r w:rsidR="00AF731C" w:rsidRPr="00AF731C">
        <w:rPr>
          <w:lang w:val="en"/>
        </w:rPr>
        <w:t xml:space="preserve">be helpful to assess the </w:t>
      </w:r>
      <w:r w:rsidR="00197FD1" w:rsidRPr="00AF731C">
        <w:rPr>
          <w:lang w:val="en"/>
        </w:rPr>
        <w:t>benefit</w:t>
      </w:r>
      <w:r w:rsidR="00AF731C" w:rsidRPr="00AF731C">
        <w:rPr>
          <w:lang w:val="en"/>
        </w:rPr>
        <w:t xml:space="preserve">s and/or problems associated with radial head implants. </w:t>
      </w:r>
      <w:r w:rsidR="00197FD1" w:rsidRPr="00AF731C">
        <w:rPr>
          <w:lang w:val="en"/>
        </w:rPr>
        <w:t xml:space="preserve"> </w:t>
      </w:r>
    </w:p>
    <w:p w14:paraId="14F56294" w14:textId="77777777" w:rsidR="00197FD1" w:rsidRDefault="00197FD1" w:rsidP="00170B14">
      <w:pPr>
        <w:rPr>
          <w:b/>
        </w:rPr>
      </w:pPr>
      <w:bookmarkStart w:id="1" w:name="Coding_Implications"/>
    </w:p>
    <w:p w14:paraId="24D37433" w14:textId="77777777" w:rsidR="00170B14" w:rsidRPr="00B777AF" w:rsidRDefault="00170B14" w:rsidP="00170B14">
      <w:pPr>
        <w:rPr>
          <w:b/>
        </w:rPr>
      </w:pPr>
      <w:r w:rsidRPr="00B777AF">
        <w:rPr>
          <w:b/>
        </w:rPr>
        <w:t>Coding Implications</w:t>
      </w:r>
    </w:p>
    <w:bookmarkEnd w:id="1"/>
    <w:p w14:paraId="5F1D975A" w14:textId="05A051EF"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30079B" w:rsidRPr="00507DC0">
        <w:t>201</w:t>
      </w:r>
      <w:r w:rsidR="0030079B">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0D4434D6" w14:textId="77777777" w:rsidR="00AF5490" w:rsidRPr="00A85489" w:rsidRDefault="00AF5490" w:rsidP="00AF5490"/>
    <w:tbl>
      <w:tblPr>
        <w:tblStyle w:val="TableGrid"/>
        <w:tblW w:w="4772" w:type="pct"/>
        <w:tblLook w:val="0020" w:firstRow="1" w:lastRow="0" w:firstColumn="0" w:lastColumn="0" w:noHBand="0" w:noVBand="0"/>
      </w:tblPr>
      <w:tblGrid>
        <w:gridCol w:w="1108"/>
        <w:gridCol w:w="7816"/>
      </w:tblGrid>
      <w:tr w:rsidR="00B777AF" w:rsidRPr="00B777AF" w14:paraId="303E0433" w14:textId="77777777" w:rsidTr="00253CAA">
        <w:trPr>
          <w:tblHeader/>
        </w:trPr>
        <w:tc>
          <w:tcPr>
            <w:tcW w:w="1117" w:type="dxa"/>
            <w:shd w:val="clear" w:color="auto" w:fill="00548C"/>
          </w:tcPr>
          <w:p w14:paraId="0CABA0C1"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022" w:type="dxa"/>
            <w:shd w:val="clear" w:color="auto" w:fill="00548C"/>
          </w:tcPr>
          <w:p w14:paraId="2F42C9A1" w14:textId="77777777" w:rsidR="00D36448" w:rsidRPr="00B777AF" w:rsidRDefault="00D36448" w:rsidP="00C10DF0">
            <w:pPr>
              <w:rPr>
                <w:b/>
                <w:bCs/>
                <w:color w:val="FFFFFF" w:themeColor="background1"/>
              </w:rPr>
            </w:pPr>
            <w:r w:rsidRPr="00B777AF">
              <w:rPr>
                <w:b/>
                <w:color w:val="FFFFFF" w:themeColor="background1"/>
              </w:rPr>
              <w:t>Description</w:t>
            </w:r>
          </w:p>
        </w:tc>
      </w:tr>
      <w:tr w:rsidR="00D36448" w:rsidRPr="005144C0" w14:paraId="6F79356B" w14:textId="77777777" w:rsidTr="00253CAA">
        <w:tc>
          <w:tcPr>
            <w:tcW w:w="1117" w:type="dxa"/>
          </w:tcPr>
          <w:p w14:paraId="5633E2C8" w14:textId="77777777" w:rsidR="00D36448" w:rsidRPr="005144C0" w:rsidRDefault="00EA7D31" w:rsidP="004E61A1">
            <w:pPr>
              <w:tabs>
                <w:tab w:val="left" w:pos="810"/>
                <w:tab w:val="left" w:pos="1620"/>
              </w:tabs>
              <w:rPr>
                <w:bCs/>
              </w:rPr>
            </w:pPr>
            <w:r>
              <w:rPr>
                <w:bCs/>
              </w:rPr>
              <w:t>24366</w:t>
            </w:r>
          </w:p>
        </w:tc>
        <w:tc>
          <w:tcPr>
            <w:tcW w:w="8022" w:type="dxa"/>
          </w:tcPr>
          <w:p w14:paraId="1F8FECB9" w14:textId="77777777" w:rsidR="00D36448" w:rsidRPr="005144C0" w:rsidRDefault="00EA7D31" w:rsidP="004E61A1">
            <w:pPr>
              <w:tabs>
                <w:tab w:val="left" w:pos="810"/>
                <w:tab w:val="left" w:pos="1620"/>
              </w:tabs>
              <w:rPr>
                <w:bCs/>
              </w:rPr>
            </w:pPr>
            <w:r>
              <w:rPr>
                <w:bCs/>
              </w:rPr>
              <w:t xml:space="preserve">Arthroplasty, radial head; with implant </w:t>
            </w:r>
          </w:p>
        </w:tc>
      </w:tr>
    </w:tbl>
    <w:p w14:paraId="18033D43" w14:textId="77777777" w:rsidR="00AF5490" w:rsidRDefault="00AF5490" w:rsidP="00AF5490"/>
    <w:tbl>
      <w:tblPr>
        <w:tblStyle w:val="TableGrid"/>
        <w:tblW w:w="4772" w:type="pct"/>
        <w:tblLook w:val="0020" w:firstRow="1" w:lastRow="0" w:firstColumn="0" w:lastColumn="0" w:noHBand="0" w:noVBand="0"/>
      </w:tblPr>
      <w:tblGrid>
        <w:gridCol w:w="1127"/>
        <w:gridCol w:w="7797"/>
      </w:tblGrid>
      <w:tr w:rsidR="003F3D44" w:rsidRPr="00B777AF" w14:paraId="1DCBF34D" w14:textId="77777777" w:rsidTr="00556CBA">
        <w:trPr>
          <w:tblHeader/>
        </w:trPr>
        <w:tc>
          <w:tcPr>
            <w:tcW w:w="1138" w:type="dxa"/>
            <w:shd w:val="clear" w:color="auto" w:fill="00548C"/>
          </w:tcPr>
          <w:p w14:paraId="4F5202B0" w14:textId="77777777"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8510" w:type="dxa"/>
            <w:shd w:val="clear" w:color="auto" w:fill="00548C"/>
          </w:tcPr>
          <w:p w14:paraId="183E017E" w14:textId="77777777"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14:paraId="195759B1" w14:textId="77777777" w:rsidTr="00556CBA">
        <w:tc>
          <w:tcPr>
            <w:tcW w:w="1138" w:type="dxa"/>
          </w:tcPr>
          <w:p w14:paraId="3441911D" w14:textId="77777777" w:rsidR="003F3D44" w:rsidRPr="005144C0" w:rsidRDefault="00C1304C" w:rsidP="00556CBA">
            <w:pPr>
              <w:rPr>
                <w:bCs/>
              </w:rPr>
            </w:pPr>
            <w:r>
              <w:rPr>
                <w:bCs/>
              </w:rPr>
              <w:t>N/A</w:t>
            </w:r>
          </w:p>
        </w:tc>
        <w:tc>
          <w:tcPr>
            <w:tcW w:w="8510" w:type="dxa"/>
          </w:tcPr>
          <w:p w14:paraId="5268CB98" w14:textId="77777777" w:rsidR="003F3D44" w:rsidRPr="005144C0" w:rsidRDefault="003F3D44" w:rsidP="00556CBA">
            <w:pPr>
              <w:rPr>
                <w:bCs/>
              </w:rPr>
            </w:pPr>
          </w:p>
        </w:tc>
      </w:tr>
    </w:tbl>
    <w:p w14:paraId="47189C1D" w14:textId="77777777" w:rsidR="003F3D44" w:rsidRDefault="003F3D44" w:rsidP="00AF5490"/>
    <w:p w14:paraId="1629E2F3" w14:textId="77777777" w:rsidR="00350F22" w:rsidRPr="00350F22" w:rsidRDefault="00350F22" w:rsidP="00AF5490">
      <w:pPr>
        <w:rPr>
          <w:b/>
        </w:rPr>
      </w:pPr>
      <w:r w:rsidRPr="00350F22">
        <w:rPr>
          <w:b/>
        </w:rPr>
        <w:t>ICD-10-CM Diagnosis Codes that Support Coverage Criteria</w:t>
      </w:r>
    </w:p>
    <w:tbl>
      <w:tblPr>
        <w:tblStyle w:val="TableGrid"/>
        <w:tblW w:w="4772" w:type="pct"/>
        <w:tblLook w:val="0020" w:firstRow="1" w:lastRow="0" w:firstColumn="0" w:lastColumn="0" w:noHBand="0" w:noVBand="0"/>
      </w:tblPr>
      <w:tblGrid>
        <w:gridCol w:w="1628"/>
        <w:gridCol w:w="7296"/>
      </w:tblGrid>
      <w:tr w:rsidR="00350F22" w:rsidRPr="00B777AF" w14:paraId="0D08AFD9" w14:textId="77777777" w:rsidTr="00F91367">
        <w:trPr>
          <w:tblHeader/>
        </w:trPr>
        <w:tc>
          <w:tcPr>
            <w:tcW w:w="1638" w:type="dxa"/>
            <w:shd w:val="clear" w:color="auto" w:fill="00548C"/>
          </w:tcPr>
          <w:p w14:paraId="5FF432A8" w14:textId="77777777" w:rsidR="00350F22" w:rsidRPr="00350F22" w:rsidRDefault="00350F22" w:rsidP="00350F22">
            <w:pPr>
              <w:rPr>
                <w:b/>
                <w:bCs/>
                <w:color w:val="FFFFFF"/>
              </w:rPr>
            </w:pPr>
            <w:r>
              <w:rPr>
                <w:b/>
                <w:color w:val="FFFFFF"/>
              </w:rPr>
              <w:t>ICD-10-CM Code</w:t>
            </w:r>
          </w:p>
        </w:tc>
        <w:tc>
          <w:tcPr>
            <w:tcW w:w="7501" w:type="dxa"/>
            <w:shd w:val="clear" w:color="auto" w:fill="00548C"/>
          </w:tcPr>
          <w:p w14:paraId="36484195" w14:textId="77777777" w:rsidR="00350F22" w:rsidRPr="00350F22" w:rsidRDefault="00350F22" w:rsidP="00F91367">
            <w:pPr>
              <w:rPr>
                <w:b/>
                <w:bCs/>
                <w:color w:val="FFFFFF"/>
              </w:rPr>
            </w:pPr>
            <w:r w:rsidRPr="00350F22">
              <w:rPr>
                <w:b/>
                <w:color w:val="FFFFFF"/>
              </w:rPr>
              <w:t>Description</w:t>
            </w:r>
          </w:p>
        </w:tc>
      </w:tr>
      <w:tr w:rsidR="00C1304C" w:rsidRPr="005144C0" w14:paraId="3669890B" w14:textId="77777777" w:rsidTr="00F91367">
        <w:tc>
          <w:tcPr>
            <w:tcW w:w="1638" w:type="dxa"/>
          </w:tcPr>
          <w:p w14:paraId="214ECC95" w14:textId="77777777" w:rsidR="00C1304C" w:rsidRDefault="00C1304C" w:rsidP="00F91367">
            <w:pPr>
              <w:rPr>
                <w:bCs/>
              </w:rPr>
            </w:pPr>
            <w:r>
              <w:rPr>
                <w:bCs/>
              </w:rPr>
              <w:t>M06.821</w:t>
            </w:r>
          </w:p>
        </w:tc>
        <w:tc>
          <w:tcPr>
            <w:tcW w:w="7501" w:type="dxa"/>
          </w:tcPr>
          <w:p w14:paraId="670B452C" w14:textId="7274023B" w:rsidR="00C1304C" w:rsidRDefault="00C1304C" w:rsidP="0030079B">
            <w:pPr>
              <w:rPr>
                <w:bCs/>
              </w:rPr>
            </w:pPr>
            <w:r>
              <w:rPr>
                <w:bCs/>
              </w:rPr>
              <w:t>Other specified rheumatoid arthritis, right elbow</w:t>
            </w:r>
          </w:p>
        </w:tc>
      </w:tr>
      <w:tr w:rsidR="00C1304C" w:rsidRPr="005144C0" w14:paraId="1E18A28E" w14:textId="77777777" w:rsidTr="00F91367">
        <w:tc>
          <w:tcPr>
            <w:tcW w:w="1638" w:type="dxa"/>
          </w:tcPr>
          <w:p w14:paraId="09BB3F98" w14:textId="77777777" w:rsidR="00C1304C" w:rsidRDefault="00C1304C" w:rsidP="00F91367">
            <w:pPr>
              <w:rPr>
                <w:bCs/>
              </w:rPr>
            </w:pPr>
            <w:r>
              <w:rPr>
                <w:bCs/>
              </w:rPr>
              <w:t>M06.822</w:t>
            </w:r>
          </w:p>
        </w:tc>
        <w:tc>
          <w:tcPr>
            <w:tcW w:w="7501" w:type="dxa"/>
          </w:tcPr>
          <w:p w14:paraId="6F836077" w14:textId="77777777" w:rsidR="00C1304C" w:rsidRDefault="00C1304C" w:rsidP="00F91367">
            <w:pPr>
              <w:rPr>
                <w:bCs/>
              </w:rPr>
            </w:pPr>
            <w:r w:rsidRPr="00C1304C">
              <w:rPr>
                <w:bCs/>
              </w:rPr>
              <w:t>Other specified rheumatoid arthritis</w:t>
            </w:r>
            <w:r>
              <w:rPr>
                <w:bCs/>
              </w:rPr>
              <w:t>, left elbow</w:t>
            </w:r>
          </w:p>
        </w:tc>
      </w:tr>
      <w:tr w:rsidR="00350F22" w:rsidRPr="005144C0" w14:paraId="280BF590" w14:textId="77777777" w:rsidTr="00F91367">
        <w:tc>
          <w:tcPr>
            <w:tcW w:w="1638" w:type="dxa"/>
          </w:tcPr>
          <w:p w14:paraId="3220D5AA" w14:textId="77777777" w:rsidR="00350F22" w:rsidRPr="005144C0" w:rsidRDefault="00A105D3" w:rsidP="00F91367">
            <w:pPr>
              <w:rPr>
                <w:bCs/>
              </w:rPr>
            </w:pPr>
            <w:r>
              <w:rPr>
                <w:bCs/>
              </w:rPr>
              <w:lastRenderedPageBreak/>
              <w:t>S52.121 (A-S)</w:t>
            </w:r>
          </w:p>
        </w:tc>
        <w:tc>
          <w:tcPr>
            <w:tcW w:w="7501" w:type="dxa"/>
          </w:tcPr>
          <w:p w14:paraId="30B19773" w14:textId="77777777" w:rsidR="00350F22" w:rsidRPr="005144C0" w:rsidRDefault="00A105D3" w:rsidP="00F91367">
            <w:pPr>
              <w:rPr>
                <w:bCs/>
              </w:rPr>
            </w:pPr>
            <w:r>
              <w:rPr>
                <w:bCs/>
              </w:rPr>
              <w:t>Displaced fracture of head of right radius</w:t>
            </w:r>
          </w:p>
        </w:tc>
      </w:tr>
      <w:tr w:rsidR="00A105D3" w:rsidRPr="005144C0" w14:paraId="064B0C26" w14:textId="77777777" w:rsidTr="00F91367">
        <w:tc>
          <w:tcPr>
            <w:tcW w:w="1638" w:type="dxa"/>
          </w:tcPr>
          <w:p w14:paraId="6DD86688" w14:textId="77777777" w:rsidR="00A105D3" w:rsidRDefault="00A105D3" w:rsidP="00F91367">
            <w:pPr>
              <w:rPr>
                <w:bCs/>
              </w:rPr>
            </w:pPr>
            <w:r>
              <w:rPr>
                <w:bCs/>
              </w:rPr>
              <w:t>S52.122(A-S)</w:t>
            </w:r>
          </w:p>
        </w:tc>
        <w:tc>
          <w:tcPr>
            <w:tcW w:w="7501" w:type="dxa"/>
          </w:tcPr>
          <w:p w14:paraId="21E26BB7" w14:textId="77777777" w:rsidR="00A105D3" w:rsidRDefault="00A105D3" w:rsidP="00A105D3">
            <w:pPr>
              <w:rPr>
                <w:bCs/>
              </w:rPr>
            </w:pPr>
            <w:r w:rsidRPr="00A105D3">
              <w:rPr>
                <w:bCs/>
              </w:rPr>
              <w:t>Displaced fracture of head of</w:t>
            </w:r>
            <w:r>
              <w:rPr>
                <w:bCs/>
              </w:rPr>
              <w:t xml:space="preserve"> left radius </w:t>
            </w:r>
          </w:p>
        </w:tc>
      </w:tr>
    </w:tbl>
    <w:p w14:paraId="081DB7EB"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9D9E96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772568FE"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7139C212"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4FD718A9"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2F22B559"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07DCF93B" w14:textId="77777777" w:rsidR="00B777AF" w:rsidRDefault="005C4952" w:rsidP="00BB25BF">
            <w:pPr>
              <w:tabs>
                <w:tab w:val="num" w:pos="720"/>
              </w:tabs>
            </w:pPr>
            <w:r>
              <w:t xml:space="preserve">Policy Adopted from Health Net </w:t>
            </w:r>
            <w:r w:rsidR="007D32C7">
              <w:t xml:space="preserve">Radial Head Implant </w:t>
            </w:r>
          </w:p>
        </w:tc>
        <w:tc>
          <w:tcPr>
            <w:tcW w:w="810" w:type="dxa"/>
            <w:tcBorders>
              <w:top w:val="none" w:sz="0" w:space="0" w:color="auto"/>
              <w:bottom w:val="none" w:sz="0" w:space="0" w:color="auto"/>
            </w:tcBorders>
          </w:tcPr>
          <w:p w14:paraId="4351FEDC" w14:textId="77777777" w:rsidR="00B777AF" w:rsidRDefault="00D06A88" w:rsidP="005776FD">
            <w:pPr>
              <w:jc w:val="center"/>
              <w:cnfStyle w:val="000000100000" w:firstRow="0" w:lastRow="0" w:firstColumn="0" w:lastColumn="0" w:oddVBand="0" w:evenVBand="0" w:oddHBand="1" w:evenHBand="0" w:firstRowFirstColumn="0" w:firstRowLastColumn="0" w:lastRowFirstColumn="0" w:lastRowLastColumn="0"/>
            </w:pPr>
            <w:r>
              <w:t>0</w:t>
            </w:r>
            <w:r w:rsidR="007D32C7">
              <w:t>7/17</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3BAB2121" w14:textId="77777777" w:rsidR="00B777AF" w:rsidRDefault="006C58CB" w:rsidP="00857C10">
            <w:pPr>
              <w:jc w:val="center"/>
            </w:pPr>
            <w:r>
              <w:t>08/17</w:t>
            </w:r>
          </w:p>
        </w:tc>
      </w:tr>
      <w:tr w:rsidR="00EB4545" w14:paraId="43ACD3D7"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6193E04F" w14:textId="77777777" w:rsidR="00EB4545" w:rsidRDefault="00B903A7" w:rsidP="00706653">
            <w:pPr>
              <w:tabs>
                <w:tab w:val="num" w:pos="720"/>
              </w:tabs>
            </w:pPr>
            <w:r>
              <w:t>References reviewed and updated.</w:t>
            </w:r>
          </w:p>
        </w:tc>
        <w:tc>
          <w:tcPr>
            <w:tcW w:w="810" w:type="dxa"/>
          </w:tcPr>
          <w:p w14:paraId="011133C2" w14:textId="77777777" w:rsidR="00EB4545" w:rsidRDefault="00EB4545" w:rsidP="00EB4545">
            <w:pPr>
              <w:jc w:val="center"/>
              <w:cnfStyle w:val="000000000000" w:firstRow="0" w:lastRow="0" w:firstColumn="0" w:lastColumn="0" w:oddVBand="0" w:evenVBand="0" w:oddHBand="0"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60" w:type="dxa"/>
          </w:tcPr>
          <w:p w14:paraId="0BFB5306" w14:textId="77777777" w:rsidR="00EB4545" w:rsidRDefault="005C4952" w:rsidP="00857C10">
            <w:pPr>
              <w:jc w:val="center"/>
            </w:pPr>
            <w:r>
              <w:t>05/18</w:t>
            </w:r>
          </w:p>
        </w:tc>
      </w:tr>
      <w:tr w:rsidR="003F1990" w14:paraId="2ED7707F"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5847A919" w14:textId="77777777" w:rsidR="003F1990" w:rsidRDefault="003F1990" w:rsidP="00706653">
            <w:pPr>
              <w:tabs>
                <w:tab w:val="num" w:pos="720"/>
              </w:tabs>
            </w:pPr>
            <w:r>
              <w:t>Reorganized without clinical impact: moved “history of previous elbow sepsis,” “P</w:t>
            </w:r>
            <w:r w:rsidRPr="007A2130">
              <w:t>revious fascial or other interpositional arthroplasty</w:t>
            </w:r>
            <w:r>
              <w:t>…,” and “Excessive bone loss…” from the not medically necessary statement to contraindications section in I.</w:t>
            </w:r>
            <w:r w:rsidR="00DD3CD4">
              <w:t xml:space="preserve"> Clarified that any of the previous arthroplasties alone are contraindications, and that extensive bone loss </w:t>
            </w:r>
            <w:r w:rsidR="00DD3CD4" w:rsidRPr="00DD3CD4">
              <w:rPr>
                <w:b/>
              </w:rPr>
              <w:t xml:space="preserve">or </w:t>
            </w:r>
            <w:r w:rsidR="00DD3CD4">
              <w:t xml:space="preserve">poor flexion </w:t>
            </w:r>
            <w:r w:rsidR="00DD3CD4" w:rsidRPr="00DD3CD4">
              <w:rPr>
                <w:b/>
              </w:rPr>
              <w:t>or</w:t>
            </w:r>
            <w:r w:rsidR="00DD3CD4">
              <w:t xml:space="preserve"> extension mechanisms are contraindications.</w:t>
            </w:r>
          </w:p>
        </w:tc>
        <w:tc>
          <w:tcPr>
            <w:tcW w:w="810" w:type="dxa"/>
          </w:tcPr>
          <w:p w14:paraId="502EF8E6" w14:textId="77777777" w:rsidR="003F1990" w:rsidRDefault="003F1990" w:rsidP="00EB4545">
            <w:pPr>
              <w:jc w:val="center"/>
              <w:cnfStyle w:val="000000100000" w:firstRow="0" w:lastRow="0" w:firstColumn="0" w:lastColumn="0" w:oddVBand="0" w:evenVBand="0" w:oddHBand="1" w:evenHBand="0" w:firstRowFirstColumn="0" w:firstRowLastColumn="0" w:lastRowFirstColumn="0" w:lastRowLastColumn="0"/>
            </w:pPr>
            <w:r>
              <w:t>10/18</w:t>
            </w:r>
          </w:p>
        </w:tc>
        <w:tc>
          <w:tcPr>
            <w:cnfStyle w:val="000010000000" w:firstRow="0" w:lastRow="0" w:firstColumn="0" w:lastColumn="0" w:oddVBand="1" w:evenVBand="0" w:oddHBand="0" w:evenHBand="0" w:firstRowFirstColumn="0" w:firstRowLastColumn="0" w:lastRowFirstColumn="0" w:lastRowLastColumn="0"/>
            <w:tcW w:w="1260" w:type="dxa"/>
          </w:tcPr>
          <w:p w14:paraId="350F8112" w14:textId="77777777" w:rsidR="003F1990" w:rsidRDefault="003F1990" w:rsidP="00857C10">
            <w:pPr>
              <w:jc w:val="center"/>
            </w:pPr>
          </w:p>
        </w:tc>
      </w:tr>
      <w:tr w:rsidR="00457694" w14:paraId="0B0C93EC"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A0393A0" w14:textId="461C6EE0" w:rsidR="00457694" w:rsidRDefault="007C069A" w:rsidP="007C069A">
            <w:pPr>
              <w:tabs>
                <w:tab w:val="num" w:pos="720"/>
              </w:tabs>
            </w:pPr>
            <w:r>
              <w:t>Added in I.A.1 “or fracture is considered irreparable intraoperatively” and in I.B.1 changed history of sepsis to untreated or unresolved sepsis in past 12 months.</w:t>
            </w:r>
            <w:r w:rsidR="00457694">
              <w:t xml:space="preserve"> </w:t>
            </w:r>
            <w:r w:rsidR="00D52DCC">
              <w:t>S</w:t>
            </w:r>
            <w:r w:rsidR="00457694">
              <w:t>pecialty review.</w:t>
            </w:r>
          </w:p>
        </w:tc>
        <w:tc>
          <w:tcPr>
            <w:tcW w:w="810" w:type="dxa"/>
          </w:tcPr>
          <w:p w14:paraId="164332A6" w14:textId="6859106C" w:rsidR="00457694" w:rsidRDefault="00457694" w:rsidP="00EB4545">
            <w:pPr>
              <w:jc w:val="center"/>
              <w:cnfStyle w:val="000000000000" w:firstRow="0" w:lastRow="0" w:firstColumn="0" w:lastColumn="0" w:oddVBand="0" w:evenVBand="0" w:oddHBand="0" w:evenHBand="0" w:firstRowFirstColumn="0" w:firstRowLastColumn="0" w:lastRowFirstColumn="0" w:lastRowLastColumn="0"/>
            </w:pPr>
            <w:r>
              <w:t>0</w:t>
            </w:r>
            <w:r w:rsidR="007C069A">
              <w:t>5</w:t>
            </w:r>
            <w:r>
              <w:t>/19</w:t>
            </w:r>
          </w:p>
          <w:p w14:paraId="2AFAD5C2" w14:textId="77777777" w:rsidR="00457694" w:rsidRDefault="00457694" w:rsidP="00EB4545">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73E749F1" w14:textId="0F59B7F6" w:rsidR="00457694" w:rsidRDefault="002E46B0" w:rsidP="00857C10">
            <w:pPr>
              <w:jc w:val="center"/>
            </w:pPr>
            <w:r>
              <w:t>05/19</w:t>
            </w:r>
          </w:p>
        </w:tc>
      </w:tr>
    </w:tbl>
    <w:p w14:paraId="7C937177" w14:textId="77777777" w:rsidR="00B777AF" w:rsidRDefault="00B777AF" w:rsidP="00B777AF">
      <w:pPr>
        <w:pStyle w:val="Heading6"/>
        <w:tabs>
          <w:tab w:val="clear" w:pos="0"/>
        </w:tabs>
      </w:pPr>
    </w:p>
    <w:p w14:paraId="3F74CCEE" w14:textId="77777777" w:rsidR="00963062" w:rsidRPr="00B777AF" w:rsidRDefault="003F3D44" w:rsidP="00963062">
      <w:pPr>
        <w:pStyle w:val="Heading3"/>
      </w:pPr>
      <w:r>
        <w:t>References</w:t>
      </w:r>
    </w:p>
    <w:p w14:paraId="7EE6931C" w14:textId="67868B6A" w:rsidR="00963062" w:rsidRDefault="00901F72" w:rsidP="00D52DCC">
      <w:pPr>
        <w:pStyle w:val="ListParagraph"/>
        <w:numPr>
          <w:ilvl w:val="0"/>
          <w:numId w:val="21"/>
        </w:numPr>
        <w:ind w:left="360"/>
      </w:pPr>
      <w:r>
        <w:t xml:space="preserve">American Academy of Orthopedic Surgeons. </w:t>
      </w:r>
      <w:r w:rsidRPr="00901F72">
        <w:t>Radial Head Fractures of the Elbow</w:t>
      </w:r>
      <w:r>
        <w:t xml:space="preserve">. Last reviewed March 2014. </w:t>
      </w:r>
      <w:r w:rsidR="00D52DCC">
        <w:t xml:space="preserve"> Accessed April 30, 2019. </w:t>
      </w:r>
      <w:hyperlink r:id="rId14" w:history="1">
        <w:r w:rsidR="00D52DCC" w:rsidRPr="00D52DCC">
          <w:rPr>
            <w:rStyle w:val="Hyperlink"/>
          </w:rPr>
          <w:t>https://emedicine.medscape.com/article/1240337-treatment</w:t>
        </w:r>
      </w:hyperlink>
    </w:p>
    <w:p w14:paraId="6EA69267" w14:textId="77777777" w:rsidR="00261CA7" w:rsidRDefault="00261CA7" w:rsidP="00705794">
      <w:pPr>
        <w:pStyle w:val="ListParagraph"/>
        <w:numPr>
          <w:ilvl w:val="0"/>
          <w:numId w:val="21"/>
        </w:numPr>
        <w:ind w:left="360"/>
      </w:pPr>
      <w:r>
        <w:t xml:space="preserve">Kodde IF, </w:t>
      </w:r>
      <w:r w:rsidR="00240BC9">
        <w:t xml:space="preserve">Kaas L, Flipsen M, et al. </w:t>
      </w:r>
      <w:r w:rsidR="00240BC9" w:rsidRPr="00240BC9">
        <w:rPr>
          <w:lang w:val="en"/>
        </w:rPr>
        <w:t>Current concepts in the management of radial head fractures</w:t>
      </w:r>
      <w:r w:rsidR="00240BC9">
        <w:rPr>
          <w:lang w:val="en"/>
        </w:rPr>
        <w:t xml:space="preserve">. </w:t>
      </w:r>
      <w:r w:rsidR="00705794" w:rsidRPr="00705794">
        <w:rPr>
          <w:lang w:val="en"/>
        </w:rPr>
        <w:t>World J Orthop. 2015 Dec 18;6(11):954-60</w:t>
      </w:r>
      <w:r w:rsidR="00892ACE">
        <w:rPr>
          <w:lang w:val="en"/>
        </w:rPr>
        <w:t>.  Accessed April 23, 2019</w:t>
      </w:r>
      <w:r w:rsidR="00636CD3">
        <w:rPr>
          <w:lang w:val="en"/>
        </w:rPr>
        <w:t>.</w:t>
      </w:r>
    </w:p>
    <w:p w14:paraId="074B75BA" w14:textId="77777777" w:rsidR="004E061A" w:rsidRPr="004E061A" w:rsidRDefault="004E061A" w:rsidP="004E061A">
      <w:pPr>
        <w:pStyle w:val="ListParagraph"/>
        <w:numPr>
          <w:ilvl w:val="0"/>
          <w:numId w:val="21"/>
        </w:numPr>
        <w:ind w:left="360"/>
      </w:pPr>
      <w:r>
        <w:t xml:space="preserve">Marsh </w:t>
      </w:r>
      <w:r w:rsidRPr="004E061A">
        <w:t>JP, Grewal R, Faber KJ, et al.  Radial Head Fractures Treated with Modular Metallic Radial Head Replacement: Outcomes at a Mean Follow-up of Eight Years.  J Bone Joint Surg Am. 2016 Apr 6;98(7):527-35.</w:t>
      </w:r>
      <w:r w:rsidR="002C518D">
        <w:t xml:space="preserve">  Accessed April 23, 2019</w:t>
      </w:r>
      <w:r w:rsidR="00636CD3">
        <w:t>.</w:t>
      </w:r>
      <w:r w:rsidRPr="004E061A">
        <w:t xml:space="preserve"> </w:t>
      </w:r>
    </w:p>
    <w:p w14:paraId="74F0213B" w14:textId="77777777" w:rsidR="00197FD1" w:rsidRPr="004E061A" w:rsidRDefault="00197FD1" w:rsidP="007163E2">
      <w:pPr>
        <w:pStyle w:val="ListParagraph"/>
        <w:numPr>
          <w:ilvl w:val="0"/>
          <w:numId w:val="21"/>
        </w:numPr>
        <w:ind w:left="360"/>
      </w:pPr>
      <w:r>
        <w:t>Miller G, Humadi A</w:t>
      </w:r>
      <w:r>
        <w:rPr>
          <w:caps/>
        </w:rPr>
        <w:t>, U</w:t>
      </w:r>
      <w:r w:rsidRPr="00197FD1">
        <w:t>nni</w:t>
      </w:r>
      <w:r>
        <w:rPr>
          <w:caps/>
        </w:rPr>
        <w:t xml:space="preserve"> r, </w:t>
      </w:r>
      <w:r w:rsidRPr="00197FD1">
        <w:t>et al</w:t>
      </w:r>
      <w:r>
        <w:rPr>
          <w:caps/>
        </w:rPr>
        <w:t xml:space="preserve">. </w:t>
      </w:r>
      <w:r w:rsidRPr="00197FD1">
        <w:rPr>
          <w:caps/>
          <w:lang w:val="en"/>
        </w:rPr>
        <w:t>S</w:t>
      </w:r>
      <w:r w:rsidRPr="00197FD1">
        <w:rPr>
          <w:lang w:val="en"/>
        </w:rPr>
        <w:t>urgical</w:t>
      </w:r>
      <w:r w:rsidRPr="00197FD1">
        <w:rPr>
          <w:caps/>
          <w:lang w:val="en"/>
        </w:rPr>
        <w:t xml:space="preserve"> </w:t>
      </w:r>
      <w:r w:rsidRPr="00197FD1">
        <w:rPr>
          <w:lang w:val="en"/>
        </w:rPr>
        <w:t>management of</w:t>
      </w:r>
      <w:r w:rsidRPr="00197FD1">
        <w:rPr>
          <w:caps/>
          <w:lang w:val="en"/>
        </w:rPr>
        <w:t xml:space="preserve"> M</w:t>
      </w:r>
      <w:r w:rsidRPr="00197FD1">
        <w:rPr>
          <w:sz w:val="22"/>
          <w:lang w:val="en"/>
        </w:rPr>
        <w:t>ason</w:t>
      </w:r>
      <w:r w:rsidRPr="00197FD1">
        <w:rPr>
          <w:caps/>
          <w:lang w:val="en"/>
        </w:rPr>
        <w:t xml:space="preserve"> </w:t>
      </w:r>
      <w:r w:rsidR="009C506E" w:rsidRPr="00197FD1">
        <w:rPr>
          <w:lang w:val="en"/>
        </w:rPr>
        <w:t>t</w:t>
      </w:r>
      <w:r w:rsidR="009C506E" w:rsidRPr="009C506E">
        <w:rPr>
          <w:lang w:val="en"/>
        </w:rPr>
        <w:t>yp</w:t>
      </w:r>
      <w:r w:rsidR="009C506E">
        <w:rPr>
          <w:lang w:val="en"/>
        </w:rPr>
        <w:t>e</w:t>
      </w:r>
      <w:r w:rsidR="009C506E" w:rsidRPr="00197FD1">
        <w:rPr>
          <w:lang w:val="en"/>
        </w:rPr>
        <w:t xml:space="preserve"> </w:t>
      </w:r>
      <w:r w:rsidRPr="00197FD1">
        <w:rPr>
          <w:caps/>
          <w:lang w:val="en"/>
        </w:rPr>
        <w:t>III r</w:t>
      </w:r>
      <w:r w:rsidR="009C506E">
        <w:rPr>
          <w:lang w:val="en"/>
        </w:rPr>
        <w:t>adial</w:t>
      </w:r>
      <w:r w:rsidRPr="00197FD1">
        <w:rPr>
          <w:caps/>
          <w:lang w:val="en"/>
        </w:rPr>
        <w:t xml:space="preserve"> h</w:t>
      </w:r>
      <w:r w:rsidR="009C506E" w:rsidRPr="00197FD1">
        <w:rPr>
          <w:lang w:val="en"/>
        </w:rPr>
        <w:t xml:space="preserve">ead </w:t>
      </w:r>
      <w:r w:rsidRPr="00197FD1">
        <w:rPr>
          <w:caps/>
          <w:lang w:val="en"/>
        </w:rPr>
        <w:t>f</w:t>
      </w:r>
      <w:r w:rsidR="009C506E" w:rsidRPr="00197FD1">
        <w:rPr>
          <w:lang w:val="en"/>
        </w:rPr>
        <w:t>ractures</w:t>
      </w:r>
      <w:r w:rsidR="009C506E">
        <w:rPr>
          <w:lang w:val="en"/>
        </w:rPr>
        <w:t xml:space="preserve">. </w:t>
      </w:r>
      <w:hyperlink r:id="rId15" w:history="1">
        <w:r w:rsidR="009C506E" w:rsidRPr="009C506E">
          <w:rPr>
            <w:rStyle w:val="Hyperlink"/>
            <w:color w:val="auto"/>
            <w:u w:val="none"/>
            <w:lang w:val="en"/>
          </w:rPr>
          <w:t>Indian J Orthop</w:t>
        </w:r>
      </w:hyperlink>
      <w:r w:rsidR="009C506E" w:rsidRPr="009C506E">
        <w:rPr>
          <w:lang w:val="en"/>
        </w:rPr>
        <w:t>.</w:t>
      </w:r>
      <w:r w:rsidR="009C506E" w:rsidRPr="009C506E">
        <w:rPr>
          <w:u w:val="single"/>
          <w:lang w:val="en"/>
        </w:rPr>
        <w:t xml:space="preserve"> </w:t>
      </w:r>
      <w:r w:rsidR="009C506E" w:rsidRPr="009C506E">
        <w:rPr>
          <w:lang w:val="en"/>
        </w:rPr>
        <w:t>2013 Jul-Aug; 47(4): 323–332.</w:t>
      </w:r>
      <w:r w:rsidR="009C506E">
        <w:rPr>
          <w:lang w:val="en"/>
        </w:rPr>
        <w:t xml:space="preserve"> </w:t>
      </w:r>
      <w:r w:rsidR="00140E2E">
        <w:rPr>
          <w:lang w:val="en"/>
        </w:rPr>
        <w:t xml:space="preserve"> Accessed April 23, 2019</w:t>
      </w:r>
      <w:r w:rsidR="00636CD3">
        <w:rPr>
          <w:lang w:val="en"/>
        </w:rPr>
        <w:t>.</w:t>
      </w:r>
    </w:p>
    <w:p w14:paraId="3B37CB45" w14:textId="77777777" w:rsidR="004E061A" w:rsidRPr="004E061A" w:rsidRDefault="004E061A" w:rsidP="004E061A">
      <w:pPr>
        <w:pStyle w:val="ListParagraph"/>
        <w:numPr>
          <w:ilvl w:val="0"/>
          <w:numId w:val="21"/>
        </w:numPr>
        <w:ind w:left="360"/>
      </w:pPr>
      <w:r w:rsidRPr="004E061A">
        <w:t xml:space="preserve">Moghaddam A, Raven TF, Dremel E, et al.  Outcome of Radial Head Arthroplasty in Comminuted Radial Head Fractures: Short and Midterm Results.  Trauma Mon. 2016 Feb 6;21(1):e20201. </w:t>
      </w:r>
      <w:r w:rsidR="00140E2E">
        <w:t xml:space="preserve"> Accessed April 23, 2019</w:t>
      </w:r>
      <w:r w:rsidR="00636CD3">
        <w:t>.</w:t>
      </w:r>
    </w:p>
    <w:p w14:paraId="667DF333" w14:textId="77777777" w:rsidR="00901F72" w:rsidRPr="00901F72" w:rsidRDefault="00901F72" w:rsidP="007163E2">
      <w:pPr>
        <w:pStyle w:val="ListParagraph"/>
        <w:numPr>
          <w:ilvl w:val="0"/>
          <w:numId w:val="21"/>
        </w:numPr>
        <w:ind w:left="360"/>
      </w:pPr>
      <w:r>
        <w:t xml:space="preserve">Rabin SI. </w:t>
      </w:r>
      <w:r w:rsidRPr="00E85A87">
        <w:rPr>
          <w:lang w:val="en"/>
        </w:rPr>
        <w:t>Radial Head Fractures</w:t>
      </w:r>
      <w:r w:rsidRPr="00901F72">
        <w:rPr>
          <w:lang w:val="en"/>
        </w:rPr>
        <w:t> Treatment &amp; Management</w:t>
      </w:r>
      <w:r>
        <w:rPr>
          <w:lang w:val="en"/>
        </w:rPr>
        <w:t>. Medscape. October 2, 2015.</w:t>
      </w:r>
      <w:r w:rsidR="005D0330">
        <w:rPr>
          <w:lang w:val="en"/>
        </w:rPr>
        <w:t xml:space="preserve"> </w:t>
      </w:r>
    </w:p>
    <w:p w14:paraId="08E7E344" w14:textId="77777777" w:rsidR="00585AE4" w:rsidRPr="000914D3" w:rsidRDefault="00585AE4" w:rsidP="007163E2">
      <w:pPr>
        <w:pStyle w:val="ListParagraph"/>
        <w:numPr>
          <w:ilvl w:val="0"/>
          <w:numId w:val="21"/>
        </w:numPr>
        <w:ind w:left="360"/>
      </w:pPr>
      <w:r>
        <w:t xml:space="preserve">Sanchez-Sotelo J. </w:t>
      </w:r>
      <w:r w:rsidRPr="00585AE4">
        <w:rPr>
          <w:lang w:val="en"/>
        </w:rPr>
        <w:t>Elbow rheumatoid elbow: surgical treatment options</w:t>
      </w:r>
      <w:r w:rsidR="000914D3">
        <w:rPr>
          <w:lang w:val="en"/>
        </w:rPr>
        <w:t xml:space="preserve">. </w:t>
      </w:r>
      <w:hyperlink r:id="rId16" w:history="1">
        <w:r w:rsidR="000914D3" w:rsidRPr="000914D3">
          <w:rPr>
            <w:rStyle w:val="Hyperlink"/>
            <w:color w:val="auto"/>
            <w:u w:val="none"/>
            <w:lang w:val="en"/>
          </w:rPr>
          <w:t>Curr Rev Musculoskelet Med</w:t>
        </w:r>
      </w:hyperlink>
      <w:r w:rsidR="000914D3" w:rsidRPr="000914D3">
        <w:rPr>
          <w:lang w:val="en"/>
        </w:rPr>
        <w:t>. 2016 Jun; 9(2): 224–231.</w:t>
      </w:r>
      <w:r w:rsidR="00636CD3">
        <w:rPr>
          <w:lang w:val="en"/>
        </w:rPr>
        <w:t xml:space="preserve">  Accessed April 23, 2019.</w:t>
      </w:r>
    </w:p>
    <w:p w14:paraId="43066538" w14:textId="2F9F569F" w:rsidR="00C56AFC" w:rsidRDefault="00585AE4" w:rsidP="00240667">
      <w:pPr>
        <w:pStyle w:val="ListParagraph"/>
        <w:numPr>
          <w:ilvl w:val="0"/>
          <w:numId w:val="21"/>
        </w:numPr>
        <w:ind w:left="360"/>
      </w:pPr>
      <w:r>
        <w:t>S</w:t>
      </w:r>
      <w:r w:rsidR="00F059B2">
        <w:t>labaugh M. Radial head and neck fractures in adults.</w:t>
      </w:r>
      <w:r w:rsidR="00BB25BF" w:rsidRPr="00BB25BF">
        <w:t xml:space="preserve"> In: UpToDate</w:t>
      </w:r>
      <w:r w:rsidR="00BB25BF">
        <w:t xml:space="preserve">.  </w:t>
      </w:r>
      <w:r w:rsidR="00240667">
        <w:t xml:space="preserve">Eiff P, Asplund CA </w:t>
      </w:r>
      <w:r w:rsidR="00BB25BF">
        <w:t>(Ed</w:t>
      </w:r>
      <w:r w:rsidR="00240667">
        <w:t>s</w:t>
      </w:r>
      <w:r w:rsidR="00BB25BF">
        <w:t>)</w:t>
      </w:r>
      <w:r w:rsidR="00F059B2">
        <w:t xml:space="preserve"> UpToDate. </w:t>
      </w:r>
      <w:r w:rsidR="00BB25BF" w:rsidRPr="00BB25BF">
        <w:t xml:space="preserve">Waltham, MA </w:t>
      </w:r>
      <w:r w:rsidR="00BB25BF">
        <w:t xml:space="preserve">  Accessed </w:t>
      </w:r>
      <w:r w:rsidR="00636CD3">
        <w:t>April 23, 2019</w:t>
      </w:r>
      <w:r w:rsidR="00BB25BF">
        <w:t>.</w:t>
      </w:r>
    </w:p>
    <w:p w14:paraId="6765F40D" w14:textId="77777777" w:rsidR="00C56AFC" w:rsidRDefault="00FF31B4" w:rsidP="00C56AFC">
      <w:pPr>
        <w:pStyle w:val="ListParagraph"/>
        <w:numPr>
          <w:ilvl w:val="0"/>
          <w:numId w:val="21"/>
        </w:numPr>
        <w:ind w:left="360"/>
      </w:pPr>
      <w:r>
        <w:t xml:space="preserve">Wheeless CR. </w:t>
      </w:r>
      <w:r w:rsidR="00C56AFC">
        <w:t xml:space="preserve">Wheeless’ Textbook of Orthopedics. </w:t>
      </w:r>
      <w:r w:rsidR="00C56AFC" w:rsidRPr="00C56AFC">
        <w:t>Radial Head Prosthetic Replacement</w:t>
      </w:r>
      <w:r>
        <w:t xml:space="preserve">. </w:t>
      </w:r>
      <w:r w:rsidRPr="00FF31B4">
        <w:t>November 3, 2015</w:t>
      </w:r>
      <w:r>
        <w:t xml:space="preserve">. </w:t>
      </w:r>
    </w:p>
    <w:p w14:paraId="4D508757" w14:textId="77777777" w:rsidR="00451144" w:rsidRDefault="00451144" w:rsidP="00A06B04">
      <w:pPr>
        <w:pStyle w:val="ListParagraph"/>
        <w:numPr>
          <w:ilvl w:val="0"/>
          <w:numId w:val="21"/>
        </w:numPr>
        <w:ind w:left="360"/>
      </w:pPr>
      <w:r w:rsidRPr="00451144">
        <w:t>Carità E, Donadelli A, Cugola L, Perazzini P.</w:t>
      </w:r>
      <w:r>
        <w:t xml:space="preserve">  </w:t>
      </w:r>
      <w:r w:rsidRPr="00451144">
        <w:t>Radial head prosthesis: results overview.</w:t>
      </w:r>
      <w:r>
        <w:t xml:space="preserve">  </w:t>
      </w:r>
      <w:r w:rsidRPr="00451144">
        <w:t>Musculoskelet Surg. 2017 Dec;101(Suppl 2):197-204</w:t>
      </w:r>
      <w:r w:rsidR="008C06E2">
        <w:t xml:space="preserve">  Accessed April 23, 2019.</w:t>
      </w:r>
    </w:p>
    <w:p w14:paraId="2564EEAC" w14:textId="77777777" w:rsidR="00C56AFC" w:rsidRPr="00963062" w:rsidRDefault="00C56AFC" w:rsidP="00C56AFC"/>
    <w:p w14:paraId="2C24FCB3"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21FF2C0E"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w:t>
      </w:r>
      <w:r w:rsidRPr="00146C6E">
        <w:rPr>
          <w:rFonts w:eastAsiaTheme="minorHAnsi"/>
        </w:rPr>
        <w:lastRenderedPageBreak/>
        <w:t xml:space="preserve">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549E46F" w14:textId="77777777" w:rsidR="00DD6ADB" w:rsidRPr="00146C6E" w:rsidRDefault="00DD6ADB" w:rsidP="00146C6E">
      <w:pPr>
        <w:rPr>
          <w:rFonts w:eastAsiaTheme="minorHAnsi"/>
        </w:rPr>
      </w:pPr>
    </w:p>
    <w:p w14:paraId="0ECD5DE1"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77973543" w14:textId="77777777" w:rsidR="00DD6ADB" w:rsidRPr="00146C6E" w:rsidRDefault="00DD6ADB" w:rsidP="00146C6E">
      <w:pPr>
        <w:rPr>
          <w:rFonts w:eastAsiaTheme="minorHAnsi"/>
        </w:rPr>
      </w:pPr>
    </w:p>
    <w:p w14:paraId="7EE331D7"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CFBF186" w14:textId="77777777" w:rsidR="00DD6ADB" w:rsidRPr="00146C6E" w:rsidRDefault="00DD6ADB" w:rsidP="00146C6E">
      <w:pPr>
        <w:rPr>
          <w:rFonts w:eastAsiaTheme="minorHAnsi"/>
        </w:rPr>
      </w:pPr>
    </w:p>
    <w:p w14:paraId="186D9B97"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FF6B7B6" w14:textId="77777777" w:rsidR="00DD6ADB" w:rsidRPr="00146C6E" w:rsidRDefault="00DD6ADB" w:rsidP="00146C6E">
      <w:pPr>
        <w:rPr>
          <w:rFonts w:eastAsiaTheme="minorHAnsi"/>
        </w:rPr>
      </w:pPr>
    </w:p>
    <w:p w14:paraId="76F2A25F"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554C0DDF" w14:textId="77777777" w:rsidR="00DD6ADB" w:rsidRPr="00146C6E" w:rsidRDefault="00DD6ADB" w:rsidP="00146C6E">
      <w:pPr>
        <w:rPr>
          <w:rFonts w:eastAsiaTheme="minorHAnsi"/>
        </w:rPr>
      </w:pPr>
    </w:p>
    <w:p w14:paraId="61BD0B7C"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C6E8E55" w14:textId="77777777" w:rsidR="00DD6ADB" w:rsidRPr="00146C6E" w:rsidRDefault="00DD6ADB" w:rsidP="00146C6E">
      <w:pPr>
        <w:autoSpaceDE w:val="0"/>
        <w:autoSpaceDN w:val="0"/>
        <w:adjustRightInd w:val="0"/>
        <w:rPr>
          <w:rFonts w:eastAsiaTheme="minorHAnsi"/>
          <w:color w:val="000000"/>
        </w:rPr>
      </w:pPr>
    </w:p>
    <w:p w14:paraId="28571724"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xml:space="preserve">, when state Medicaid coverage provisions conflict with the coverage provisions in this clinical policy, state Medicaid coverage provisions take precedence. </w:t>
      </w:r>
      <w:r w:rsidRPr="00146C6E">
        <w:rPr>
          <w:rFonts w:eastAsiaTheme="minorHAnsi"/>
          <w:color w:val="000000"/>
        </w:rPr>
        <w:lastRenderedPageBreak/>
        <w:t>Please refer to the state Medicaid manual for any coverage provisions pertaining to this clinical policy.</w:t>
      </w:r>
    </w:p>
    <w:p w14:paraId="301F85C3" w14:textId="77777777" w:rsidR="00DD6ADB" w:rsidRPr="00146C6E" w:rsidRDefault="00DD6ADB" w:rsidP="00146C6E">
      <w:pPr>
        <w:rPr>
          <w:rFonts w:eastAsiaTheme="minorHAnsi"/>
        </w:rPr>
      </w:pPr>
    </w:p>
    <w:p w14:paraId="445B60D5" w14:textId="77777777"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7"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009EA0CD" w14:textId="77777777" w:rsidR="00875924" w:rsidRPr="00146C6E" w:rsidRDefault="00875924" w:rsidP="00146C6E">
      <w:pPr>
        <w:rPr>
          <w:iCs/>
        </w:rPr>
      </w:pPr>
    </w:p>
    <w:p w14:paraId="608B8EA5" w14:textId="77777777" w:rsidR="00C75BD4" w:rsidRPr="00146C6E" w:rsidRDefault="00C75BD4" w:rsidP="00146C6E">
      <w:pPr>
        <w:rPr>
          <w:iCs/>
        </w:rPr>
      </w:pPr>
      <w:r w:rsidRPr="00146C6E">
        <w:rPr>
          <w:iCs/>
        </w:rPr>
        <w:t>©201</w:t>
      </w:r>
      <w:r w:rsidR="005B3C18">
        <w:rPr>
          <w:iCs/>
        </w:rPr>
        <w:t>7</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64EC364B"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F0C7" w14:textId="77777777" w:rsidR="001351E6" w:rsidRDefault="001351E6">
      <w:r>
        <w:separator/>
      </w:r>
    </w:p>
  </w:endnote>
  <w:endnote w:type="continuationSeparator" w:id="0">
    <w:p w14:paraId="4482AD81" w14:textId="77777777" w:rsidR="001351E6" w:rsidRDefault="0013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C03E" w14:textId="0CA82BE8"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3A52B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A52B9">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D4A0" w14:textId="4462E8FB" w:rsidR="002C6AAB" w:rsidRDefault="002C6AAB" w:rsidP="002C6AAB">
    <w:pPr>
      <w:pStyle w:val="Footer"/>
      <w:jc w:val="center"/>
    </w:pPr>
    <w:r>
      <w:t xml:space="preserve">Page </w:t>
    </w:r>
    <w:r>
      <w:fldChar w:fldCharType="begin"/>
    </w:r>
    <w:r>
      <w:instrText xml:space="preserve"> PAGE   \* MERGEFORMAT </w:instrText>
    </w:r>
    <w:r>
      <w:fldChar w:fldCharType="separate"/>
    </w:r>
    <w:r w:rsidR="003A52B9">
      <w:rPr>
        <w:noProof/>
      </w:rPr>
      <w:t>1</w:t>
    </w:r>
    <w:r>
      <w:fldChar w:fldCharType="end"/>
    </w:r>
    <w:r>
      <w:t xml:space="preserve"> of </w:t>
    </w:r>
    <w:r w:rsidR="00A44BDE">
      <w:rPr>
        <w:noProof/>
      </w:rPr>
      <w:fldChar w:fldCharType="begin"/>
    </w:r>
    <w:r w:rsidR="00A44BDE">
      <w:rPr>
        <w:noProof/>
      </w:rPr>
      <w:instrText xml:space="preserve"> NUMPAGES   \* MERGEFORMAT </w:instrText>
    </w:r>
    <w:r w:rsidR="00A44BDE">
      <w:rPr>
        <w:noProof/>
      </w:rPr>
      <w:fldChar w:fldCharType="separate"/>
    </w:r>
    <w:r w:rsidR="003A52B9">
      <w:rPr>
        <w:noProof/>
      </w:rPr>
      <w:t>5</w:t>
    </w:r>
    <w:r w:rsidR="00A44B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AA441" w14:textId="77777777" w:rsidR="001351E6" w:rsidRDefault="001351E6">
      <w:r>
        <w:separator/>
      </w:r>
    </w:p>
  </w:footnote>
  <w:footnote w:type="continuationSeparator" w:id="0">
    <w:p w14:paraId="778FD2B2" w14:textId="77777777" w:rsidR="001351E6" w:rsidRDefault="0013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9699"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0C6431D4" wp14:editId="7AD83D3F">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452A3802" w14:textId="77777777" w:rsidR="00DD025A" w:rsidRPr="00B777AF" w:rsidRDefault="00E35261" w:rsidP="00B777AF">
    <w:pPr>
      <w:rPr>
        <w:color w:val="00548C"/>
      </w:rPr>
    </w:pPr>
    <w:r>
      <w:rPr>
        <w:rFonts w:ascii="Times New Roman Bold" w:hAnsi="Times New Roman Bold"/>
        <w:b/>
        <w:bCs/>
        <w:color w:val="00548C"/>
      </w:rPr>
      <w:t xml:space="preserve">Radial Head Implant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988F" w14:textId="77777777" w:rsidR="009135E0" w:rsidRDefault="00A20F73" w:rsidP="00B777AF">
    <w:pPr>
      <w:pStyle w:val="Header"/>
      <w:jc w:val="right"/>
    </w:pPr>
    <w:r>
      <w:rPr>
        <w:noProof/>
      </w:rPr>
      <w:drawing>
        <wp:inline distT="0" distB="0" distL="0" distR="0" wp14:anchorId="54B292AC" wp14:editId="61B1A2D4">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879"/>
    <w:multiLevelType w:val="hybridMultilevel"/>
    <w:tmpl w:val="7E8E900C"/>
    <w:lvl w:ilvl="0" w:tplc="A9165354">
      <w:start w:val="1"/>
      <w:numFmt w:val="upperLetter"/>
      <w:lvlText w:val="%1."/>
      <w:lvlJc w:val="left"/>
      <w:pPr>
        <w:ind w:left="1149" w:hanging="360"/>
      </w:pPr>
      <w:rPr>
        <w:b/>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42F36"/>
    <w:multiLevelType w:val="hybridMultilevel"/>
    <w:tmpl w:val="87D8EF46"/>
    <w:lvl w:ilvl="0" w:tplc="EE4093E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C7C93"/>
    <w:multiLevelType w:val="multilevel"/>
    <w:tmpl w:val="CE14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51C41"/>
    <w:multiLevelType w:val="hybridMultilevel"/>
    <w:tmpl w:val="5DEA72E2"/>
    <w:lvl w:ilvl="0" w:tplc="CDF2744A">
      <w:start w:val="1"/>
      <w:numFmt w:val="decimal"/>
      <w:lvlText w:val="%1."/>
      <w:lvlJc w:val="left"/>
      <w:pPr>
        <w:tabs>
          <w:tab w:val="num" w:pos="432"/>
        </w:tabs>
        <w:ind w:left="432" w:hanging="432"/>
      </w:pPr>
      <w:rPr>
        <w:rFonts w:hint="default"/>
      </w:rPr>
    </w:lvl>
    <w:lvl w:ilvl="1" w:tplc="8A02F3EC">
      <w:start w:val="1"/>
      <w:numFmt w:val="bullet"/>
      <w:lvlText w:val=""/>
      <w:lvlJc w:val="left"/>
      <w:pPr>
        <w:tabs>
          <w:tab w:val="num" w:pos="1512"/>
        </w:tabs>
        <w:ind w:left="1512" w:hanging="432"/>
      </w:pPr>
      <w:rPr>
        <w:rFonts w:ascii="Symbol" w:hAnsi="Symbol" w:hint="default"/>
        <w:b w:val="0"/>
        <w:i w:val="0"/>
        <w:color w:val="00000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E7EE4"/>
    <w:multiLevelType w:val="hybridMultilevel"/>
    <w:tmpl w:val="710AF990"/>
    <w:lvl w:ilvl="0" w:tplc="10DAEE4E">
      <w:start w:val="1"/>
      <w:numFmt w:val="bullet"/>
      <w:lvlText w:val="•"/>
      <w:lvlJc w:val="left"/>
      <w:pPr>
        <w:ind w:left="1434" w:hanging="360"/>
      </w:pPr>
      <w:rPr>
        <w:rFonts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8D036C7"/>
    <w:multiLevelType w:val="hybridMultilevel"/>
    <w:tmpl w:val="581EFA64"/>
    <w:lvl w:ilvl="0" w:tplc="082CBC6E">
      <w:start w:val="1"/>
      <w:numFmt w:val="decimal"/>
      <w:lvlText w:val="%1."/>
      <w:lvlJc w:val="left"/>
      <w:pPr>
        <w:tabs>
          <w:tab w:val="num" w:pos="432"/>
        </w:tabs>
        <w:ind w:left="432" w:hanging="432"/>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5F4632"/>
    <w:multiLevelType w:val="hybridMultilevel"/>
    <w:tmpl w:val="55D08C1E"/>
    <w:lvl w:ilvl="0" w:tplc="133AEB28">
      <w:start w:val="2"/>
      <w:numFmt w:val="upperRoman"/>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512B6"/>
    <w:multiLevelType w:val="hybridMultilevel"/>
    <w:tmpl w:val="995CEF5C"/>
    <w:lvl w:ilvl="0" w:tplc="28F216D2">
      <w:start w:val="1"/>
      <w:numFmt w:val="decimal"/>
      <w:lvlText w:val="%1."/>
      <w:lvlJc w:val="left"/>
      <w:pPr>
        <w:ind w:left="720" w:hanging="360"/>
      </w:pPr>
      <w:rPr>
        <w:rFonts w:hint="default"/>
        <w:b w:val="0"/>
        <w:i w:val="0"/>
        <w:sz w:val="24"/>
        <w:szCs w:val="24"/>
      </w:rPr>
    </w:lvl>
    <w:lvl w:ilvl="1" w:tplc="4776C87A">
      <w:start w:val="1"/>
      <w:numFmt w:val="upperLetter"/>
      <w:lvlText w:val="%2."/>
      <w:lvlJc w:val="left"/>
      <w:pPr>
        <w:ind w:left="1440" w:hanging="360"/>
      </w:pPr>
      <w:rPr>
        <w:b/>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9211D"/>
    <w:multiLevelType w:val="hybridMultilevel"/>
    <w:tmpl w:val="218A14CE"/>
    <w:lvl w:ilvl="0" w:tplc="766442B0">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8B1A41"/>
    <w:multiLevelType w:val="hybridMultilevel"/>
    <w:tmpl w:val="C08E9C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21A6F"/>
    <w:multiLevelType w:val="hybridMultilevel"/>
    <w:tmpl w:val="80DCE482"/>
    <w:lvl w:ilvl="0" w:tplc="10DAEE4E">
      <w:start w:val="1"/>
      <w:numFmt w:val="bullet"/>
      <w:lvlText w:val="•"/>
      <w:lvlJc w:val="left"/>
      <w:pPr>
        <w:ind w:left="1226" w:hanging="360"/>
      </w:pPr>
      <w:rPr>
        <w:rFonts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2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1E3D0A"/>
    <w:multiLevelType w:val="hybridMultilevel"/>
    <w:tmpl w:val="A9385AB2"/>
    <w:lvl w:ilvl="0" w:tplc="133AEB28">
      <w:start w:val="2"/>
      <w:numFmt w:val="upperRoman"/>
      <w:lvlText w:val="%1."/>
      <w:lvlJc w:val="left"/>
      <w:pPr>
        <w:ind w:left="720" w:hanging="360"/>
      </w:pPr>
      <w:rPr>
        <w:rFonts w:ascii="Times New Roman Bold" w:hAnsi="Times New Roman Bold" w:hint="default"/>
        <w:b/>
        <w:i w:val="0"/>
        <w:sz w:val="20"/>
      </w:rPr>
    </w:lvl>
    <w:lvl w:ilvl="1" w:tplc="4776C87A">
      <w:start w:val="1"/>
      <w:numFmt w:val="upperLetter"/>
      <w:lvlText w:val="%2."/>
      <w:lvlJc w:val="left"/>
      <w:pPr>
        <w:ind w:left="1440" w:hanging="360"/>
      </w:pPr>
      <w:rPr>
        <w:b/>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11"/>
  </w:num>
  <w:num w:numId="4">
    <w:abstractNumId w:val="15"/>
  </w:num>
  <w:num w:numId="5">
    <w:abstractNumId w:val="17"/>
  </w:num>
  <w:num w:numId="6">
    <w:abstractNumId w:val="26"/>
  </w:num>
  <w:num w:numId="7">
    <w:abstractNumId w:val="27"/>
  </w:num>
  <w:num w:numId="8">
    <w:abstractNumId w:val="2"/>
  </w:num>
  <w:num w:numId="9">
    <w:abstractNumId w:val="22"/>
  </w:num>
  <w:num w:numId="10">
    <w:abstractNumId w:val="8"/>
  </w:num>
  <w:num w:numId="11">
    <w:abstractNumId w:val="29"/>
  </w:num>
  <w:num w:numId="12">
    <w:abstractNumId w:val="14"/>
  </w:num>
  <w:num w:numId="13">
    <w:abstractNumId w:val="12"/>
  </w:num>
  <w:num w:numId="14">
    <w:abstractNumId w:val="6"/>
  </w:num>
  <w:num w:numId="15">
    <w:abstractNumId w:val="9"/>
  </w:num>
  <w:num w:numId="16">
    <w:abstractNumId w:val="28"/>
  </w:num>
  <w:num w:numId="17">
    <w:abstractNumId w:val="23"/>
  </w:num>
  <w:num w:numId="18">
    <w:abstractNumId w:val="20"/>
  </w:num>
  <w:num w:numId="19">
    <w:abstractNumId w:val="7"/>
  </w:num>
  <w:num w:numId="20">
    <w:abstractNumId w:val="4"/>
  </w:num>
  <w:num w:numId="21">
    <w:abstractNumId w:val="24"/>
  </w:num>
  <w:num w:numId="22">
    <w:abstractNumId w:val="25"/>
  </w:num>
  <w:num w:numId="23">
    <w:abstractNumId w:val="13"/>
  </w:num>
  <w:num w:numId="24">
    <w:abstractNumId w:val="10"/>
  </w:num>
  <w:num w:numId="25">
    <w:abstractNumId w:val="18"/>
  </w:num>
  <w:num w:numId="26">
    <w:abstractNumId w:val="1"/>
  </w:num>
  <w:num w:numId="27">
    <w:abstractNumId w:val="16"/>
  </w:num>
  <w:num w:numId="28">
    <w:abstractNumId w:val="3"/>
  </w:num>
  <w:num w:numId="29">
    <w:abstractNumId w:val="21"/>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55A0"/>
    <w:rsid w:val="00006A5D"/>
    <w:rsid w:val="00025040"/>
    <w:rsid w:val="00032D3F"/>
    <w:rsid w:val="000465DE"/>
    <w:rsid w:val="0004733E"/>
    <w:rsid w:val="00060509"/>
    <w:rsid w:val="00083740"/>
    <w:rsid w:val="000914D3"/>
    <w:rsid w:val="00094136"/>
    <w:rsid w:val="000E4B25"/>
    <w:rsid w:val="000F10C2"/>
    <w:rsid w:val="001148A8"/>
    <w:rsid w:val="001351E6"/>
    <w:rsid w:val="00140E2E"/>
    <w:rsid w:val="0014316D"/>
    <w:rsid w:val="00146C6E"/>
    <w:rsid w:val="00170B14"/>
    <w:rsid w:val="001818D7"/>
    <w:rsid w:val="00185104"/>
    <w:rsid w:val="001962BE"/>
    <w:rsid w:val="00196689"/>
    <w:rsid w:val="00196935"/>
    <w:rsid w:val="0019746F"/>
    <w:rsid w:val="00197FD1"/>
    <w:rsid w:val="001D0D34"/>
    <w:rsid w:val="001D3EE3"/>
    <w:rsid w:val="001D70D4"/>
    <w:rsid w:val="001E3B4C"/>
    <w:rsid w:val="001E6605"/>
    <w:rsid w:val="001E7D12"/>
    <w:rsid w:val="001F6D8A"/>
    <w:rsid w:val="0020675F"/>
    <w:rsid w:val="00207B46"/>
    <w:rsid w:val="002147E4"/>
    <w:rsid w:val="00220736"/>
    <w:rsid w:val="00230FE4"/>
    <w:rsid w:val="002329ED"/>
    <w:rsid w:val="00233651"/>
    <w:rsid w:val="00240667"/>
    <w:rsid w:val="00240BC9"/>
    <w:rsid w:val="00253CAA"/>
    <w:rsid w:val="00254020"/>
    <w:rsid w:val="0025452A"/>
    <w:rsid w:val="00261CA7"/>
    <w:rsid w:val="002632EC"/>
    <w:rsid w:val="00276523"/>
    <w:rsid w:val="00285997"/>
    <w:rsid w:val="002A32F5"/>
    <w:rsid w:val="002A39EE"/>
    <w:rsid w:val="002B0582"/>
    <w:rsid w:val="002C518D"/>
    <w:rsid w:val="002C6AAB"/>
    <w:rsid w:val="002D019A"/>
    <w:rsid w:val="002D1C56"/>
    <w:rsid w:val="002D5FF7"/>
    <w:rsid w:val="002E46B0"/>
    <w:rsid w:val="002E48E7"/>
    <w:rsid w:val="002E5306"/>
    <w:rsid w:val="0030079B"/>
    <w:rsid w:val="003140D6"/>
    <w:rsid w:val="0032638B"/>
    <w:rsid w:val="00336E37"/>
    <w:rsid w:val="00350F22"/>
    <w:rsid w:val="003840CC"/>
    <w:rsid w:val="003A52B9"/>
    <w:rsid w:val="003C5FE5"/>
    <w:rsid w:val="003D7BE7"/>
    <w:rsid w:val="003F1990"/>
    <w:rsid w:val="003F3D44"/>
    <w:rsid w:val="004013D2"/>
    <w:rsid w:val="00451144"/>
    <w:rsid w:val="00452951"/>
    <w:rsid w:val="00457694"/>
    <w:rsid w:val="00472C6C"/>
    <w:rsid w:val="00480C09"/>
    <w:rsid w:val="00493710"/>
    <w:rsid w:val="00496BCF"/>
    <w:rsid w:val="00497AED"/>
    <w:rsid w:val="004E061A"/>
    <w:rsid w:val="004E0B99"/>
    <w:rsid w:val="004E61A1"/>
    <w:rsid w:val="004E793F"/>
    <w:rsid w:val="004F6394"/>
    <w:rsid w:val="005020A1"/>
    <w:rsid w:val="00505830"/>
    <w:rsid w:val="005103B8"/>
    <w:rsid w:val="005423D4"/>
    <w:rsid w:val="00542867"/>
    <w:rsid w:val="00551DA4"/>
    <w:rsid w:val="005537B0"/>
    <w:rsid w:val="005632D8"/>
    <w:rsid w:val="005776FD"/>
    <w:rsid w:val="00583376"/>
    <w:rsid w:val="00585AE4"/>
    <w:rsid w:val="00586F2B"/>
    <w:rsid w:val="005B3C18"/>
    <w:rsid w:val="005C17DF"/>
    <w:rsid w:val="005C3607"/>
    <w:rsid w:val="005C4952"/>
    <w:rsid w:val="005D009F"/>
    <w:rsid w:val="005D0330"/>
    <w:rsid w:val="005D4940"/>
    <w:rsid w:val="005D5146"/>
    <w:rsid w:val="005D7B81"/>
    <w:rsid w:val="005E411E"/>
    <w:rsid w:val="005F051C"/>
    <w:rsid w:val="00636CD3"/>
    <w:rsid w:val="006474BB"/>
    <w:rsid w:val="006664E9"/>
    <w:rsid w:val="006706F4"/>
    <w:rsid w:val="006C0EC5"/>
    <w:rsid w:val="006C58CB"/>
    <w:rsid w:val="006C74DF"/>
    <w:rsid w:val="006D2D5C"/>
    <w:rsid w:val="006F4D70"/>
    <w:rsid w:val="00705794"/>
    <w:rsid w:val="00706653"/>
    <w:rsid w:val="00712C9A"/>
    <w:rsid w:val="007163E2"/>
    <w:rsid w:val="00744250"/>
    <w:rsid w:val="0076570B"/>
    <w:rsid w:val="007764CE"/>
    <w:rsid w:val="007935AE"/>
    <w:rsid w:val="007A0BCC"/>
    <w:rsid w:val="007A2130"/>
    <w:rsid w:val="007B07AE"/>
    <w:rsid w:val="007B50D0"/>
    <w:rsid w:val="007C069A"/>
    <w:rsid w:val="007D32C7"/>
    <w:rsid w:val="007D4801"/>
    <w:rsid w:val="007F0EF5"/>
    <w:rsid w:val="007F1F19"/>
    <w:rsid w:val="00857C10"/>
    <w:rsid w:val="00875924"/>
    <w:rsid w:val="00877EC7"/>
    <w:rsid w:val="00892ACE"/>
    <w:rsid w:val="00896E94"/>
    <w:rsid w:val="008B0705"/>
    <w:rsid w:val="008C06E2"/>
    <w:rsid w:val="008C6B3A"/>
    <w:rsid w:val="008C71B0"/>
    <w:rsid w:val="008D0D48"/>
    <w:rsid w:val="008F4B24"/>
    <w:rsid w:val="00901F72"/>
    <w:rsid w:val="00902C9B"/>
    <w:rsid w:val="00904A93"/>
    <w:rsid w:val="009135E0"/>
    <w:rsid w:val="00915CA4"/>
    <w:rsid w:val="00921621"/>
    <w:rsid w:val="00947F48"/>
    <w:rsid w:val="00950820"/>
    <w:rsid w:val="0095527B"/>
    <w:rsid w:val="00961071"/>
    <w:rsid w:val="00963062"/>
    <w:rsid w:val="00963F54"/>
    <w:rsid w:val="009735FA"/>
    <w:rsid w:val="00977ECA"/>
    <w:rsid w:val="00982180"/>
    <w:rsid w:val="009915E0"/>
    <w:rsid w:val="009928B2"/>
    <w:rsid w:val="009C506E"/>
    <w:rsid w:val="009C61B2"/>
    <w:rsid w:val="009D5928"/>
    <w:rsid w:val="009E6F29"/>
    <w:rsid w:val="00A06B04"/>
    <w:rsid w:val="00A07539"/>
    <w:rsid w:val="00A105D3"/>
    <w:rsid w:val="00A20F73"/>
    <w:rsid w:val="00A41969"/>
    <w:rsid w:val="00A44BDE"/>
    <w:rsid w:val="00A51AA0"/>
    <w:rsid w:val="00A60413"/>
    <w:rsid w:val="00A83658"/>
    <w:rsid w:val="00A85489"/>
    <w:rsid w:val="00A87B1F"/>
    <w:rsid w:val="00AA0CEA"/>
    <w:rsid w:val="00AA336E"/>
    <w:rsid w:val="00AA428E"/>
    <w:rsid w:val="00AD1AA6"/>
    <w:rsid w:val="00AF1F2A"/>
    <w:rsid w:val="00AF30EF"/>
    <w:rsid w:val="00AF5490"/>
    <w:rsid w:val="00AF731C"/>
    <w:rsid w:val="00B2561F"/>
    <w:rsid w:val="00B4633B"/>
    <w:rsid w:val="00B777AF"/>
    <w:rsid w:val="00B81340"/>
    <w:rsid w:val="00B81789"/>
    <w:rsid w:val="00B903A7"/>
    <w:rsid w:val="00B92DF1"/>
    <w:rsid w:val="00BB25BF"/>
    <w:rsid w:val="00BE585C"/>
    <w:rsid w:val="00BF4150"/>
    <w:rsid w:val="00C01AA6"/>
    <w:rsid w:val="00C06257"/>
    <w:rsid w:val="00C079B0"/>
    <w:rsid w:val="00C101C1"/>
    <w:rsid w:val="00C1304C"/>
    <w:rsid w:val="00C14250"/>
    <w:rsid w:val="00C2297C"/>
    <w:rsid w:val="00C52DD8"/>
    <w:rsid w:val="00C56AFC"/>
    <w:rsid w:val="00C64BB4"/>
    <w:rsid w:val="00C73CF5"/>
    <w:rsid w:val="00C75BD4"/>
    <w:rsid w:val="00C96847"/>
    <w:rsid w:val="00CA2D68"/>
    <w:rsid w:val="00CA53B9"/>
    <w:rsid w:val="00CA5C08"/>
    <w:rsid w:val="00CB2C28"/>
    <w:rsid w:val="00CF18F6"/>
    <w:rsid w:val="00CF2624"/>
    <w:rsid w:val="00D06A88"/>
    <w:rsid w:val="00D36448"/>
    <w:rsid w:val="00D52DCC"/>
    <w:rsid w:val="00D574CA"/>
    <w:rsid w:val="00D71BC4"/>
    <w:rsid w:val="00D84442"/>
    <w:rsid w:val="00DB1DE9"/>
    <w:rsid w:val="00DB7073"/>
    <w:rsid w:val="00DD025A"/>
    <w:rsid w:val="00DD3CD4"/>
    <w:rsid w:val="00DD6ADB"/>
    <w:rsid w:val="00DD7D7A"/>
    <w:rsid w:val="00DE18E2"/>
    <w:rsid w:val="00E06DD4"/>
    <w:rsid w:val="00E35261"/>
    <w:rsid w:val="00E36D55"/>
    <w:rsid w:val="00E636FD"/>
    <w:rsid w:val="00E85A87"/>
    <w:rsid w:val="00E97C17"/>
    <w:rsid w:val="00EA1FDB"/>
    <w:rsid w:val="00EA3809"/>
    <w:rsid w:val="00EA7D31"/>
    <w:rsid w:val="00EB09D1"/>
    <w:rsid w:val="00EB4545"/>
    <w:rsid w:val="00EC021C"/>
    <w:rsid w:val="00EC30F2"/>
    <w:rsid w:val="00ED0A0D"/>
    <w:rsid w:val="00F009AE"/>
    <w:rsid w:val="00F00FD0"/>
    <w:rsid w:val="00F03DC0"/>
    <w:rsid w:val="00F059B2"/>
    <w:rsid w:val="00F25E75"/>
    <w:rsid w:val="00F2705D"/>
    <w:rsid w:val="00F422E1"/>
    <w:rsid w:val="00F67BBD"/>
    <w:rsid w:val="00F71F8E"/>
    <w:rsid w:val="00F74762"/>
    <w:rsid w:val="00F748F3"/>
    <w:rsid w:val="00F95133"/>
    <w:rsid w:val="00F95E37"/>
    <w:rsid w:val="00FB0592"/>
    <w:rsid w:val="00FB139B"/>
    <w:rsid w:val="00FD3EC9"/>
    <w:rsid w:val="00FE290A"/>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7E31F9"/>
  <w15:docId w15:val="{050FB2EB-AF1C-457C-9393-4B1E08DC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character" w:customStyle="1" w:styleId="HeaderChar">
    <w:name w:val="Header Char"/>
    <w:basedOn w:val="DefaultParagraphFont"/>
    <w:link w:val="Header"/>
    <w:uiPriority w:val="99"/>
    <w:rsid w:val="00E352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5720">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00297667">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970627506">
      <w:bodyDiv w:val="1"/>
      <w:marLeft w:val="0"/>
      <w:marRight w:val="0"/>
      <w:marTop w:val="0"/>
      <w:marBottom w:val="0"/>
      <w:divBdr>
        <w:top w:val="none" w:sz="0" w:space="0" w:color="auto"/>
        <w:left w:val="none" w:sz="0" w:space="0" w:color="auto"/>
        <w:bottom w:val="none" w:sz="0" w:space="0" w:color="auto"/>
        <w:right w:val="none" w:sz="0" w:space="0" w:color="auto"/>
      </w:divBdr>
      <w:divsChild>
        <w:div w:id="514003248">
          <w:marLeft w:val="0"/>
          <w:marRight w:val="0"/>
          <w:marTop w:val="0"/>
          <w:marBottom w:val="0"/>
          <w:divBdr>
            <w:top w:val="none" w:sz="0" w:space="0" w:color="auto"/>
            <w:left w:val="none" w:sz="0" w:space="0" w:color="auto"/>
            <w:bottom w:val="none" w:sz="0" w:space="0" w:color="auto"/>
            <w:right w:val="none" w:sz="0" w:space="0" w:color="auto"/>
          </w:divBdr>
          <w:divsChild>
            <w:div w:id="638732287">
              <w:marLeft w:val="0"/>
              <w:marRight w:val="0"/>
              <w:marTop w:val="0"/>
              <w:marBottom w:val="0"/>
              <w:divBdr>
                <w:top w:val="none" w:sz="0" w:space="0" w:color="auto"/>
                <w:left w:val="none" w:sz="0" w:space="0" w:color="auto"/>
                <w:bottom w:val="none" w:sz="0" w:space="0" w:color="auto"/>
                <w:right w:val="none" w:sz="0" w:space="0" w:color="auto"/>
              </w:divBdr>
              <w:divsChild>
                <w:div w:id="709452731">
                  <w:marLeft w:val="0"/>
                  <w:marRight w:val="0"/>
                  <w:marTop w:val="0"/>
                  <w:marBottom w:val="0"/>
                  <w:divBdr>
                    <w:top w:val="none" w:sz="0" w:space="0" w:color="auto"/>
                    <w:left w:val="none" w:sz="0" w:space="0" w:color="auto"/>
                    <w:bottom w:val="none" w:sz="0" w:space="0" w:color="auto"/>
                    <w:right w:val="none" w:sz="0" w:space="0" w:color="auto"/>
                  </w:divBdr>
                  <w:divsChild>
                    <w:div w:id="229586739">
                      <w:marLeft w:val="0"/>
                      <w:marRight w:val="0"/>
                      <w:marTop w:val="0"/>
                      <w:marBottom w:val="0"/>
                      <w:divBdr>
                        <w:top w:val="none" w:sz="0" w:space="0" w:color="auto"/>
                        <w:left w:val="none" w:sz="0" w:space="0" w:color="auto"/>
                        <w:bottom w:val="none" w:sz="0" w:space="0" w:color="auto"/>
                        <w:right w:val="none" w:sz="0" w:space="0" w:color="auto"/>
                      </w:divBdr>
                      <w:divsChild>
                        <w:div w:id="1223296171">
                          <w:marLeft w:val="0"/>
                          <w:marRight w:val="0"/>
                          <w:marTop w:val="0"/>
                          <w:marBottom w:val="0"/>
                          <w:divBdr>
                            <w:top w:val="none" w:sz="0" w:space="0" w:color="auto"/>
                            <w:left w:val="none" w:sz="0" w:space="0" w:color="auto"/>
                            <w:bottom w:val="none" w:sz="0" w:space="0" w:color="auto"/>
                            <w:right w:val="none" w:sz="0" w:space="0" w:color="auto"/>
                          </w:divBdr>
                          <w:divsChild>
                            <w:div w:id="367024376">
                              <w:marLeft w:val="0"/>
                              <w:marRight w:val="0"/>
                              <w:marTop w:val="0"/>
                              <w:marBottom w:val="0"/>
                              <w:divBdr>
                                <w:top w:val="none" w:sz="0" w:space="0" w:color="auto"/>
                                <w:left w:val="none" w:sz="0" w:space="0" w:color="auto"/>
                                <w:bottom w:val="none" w:sz="0" w:space="0" w:color="auto"/>
                                <w:right w:val="none" w:sz="0" w:space="0" w:color="auto"/>
                              </w:divBdr>
                              <w:divsChild>
                                <w:div w:id="1681812902">
                                  <w:marLeft w:val="0"/>
                                  <w:marRight w:val="0"/>
                                  <w:marTop w:val="0"/>
                                  <w:marBottom w:val="0"/>
                                  <w:divBdr>
                                    <w:top w:val="none" w:sz="0" w:space="0" w:color="auto"/>
                                    <w:left w:val="none" w:sz="0" w:space="0" w:color="auto"/>
                                    <w:bottom w:val="none" w:sz="0" w:space="0" w:color="auto"/>
                                    <w:right w:val="none" w:sz="0" w:space="0" w:color="auto"/>
                                  </w:divBdr>
                                  <w:divsChild>
                                    <w:div w:id="588002260">
                                      <w:marLeft w:val="0"/>
                                      <w:marRight w:val="0"/>
                                      <w:marTop w:val="0"/>
                                      <w:marBottom w:val="0"/>
                                      <w:divBdr>
                                        <w:top w:val="none" w:sz="0" w:space="0" w:color="auto"/>
                                        <w:left w:val="none" w:sz="0" w:space="0" w:color="auto"/>
                                        <w:bottom w:val="none" w:sz="0" w:space="0" w:color="auto"/>
                                        <w:right w:val="none" w:sz="0" w:space="0" w:color="auto"/>
                                      </w:divBdr>
                                      <w:divsChild>
                                        <w:div w:id="586501503">
                                          <w:marLeft w:val="0"/>
                                          <w:marRight w:val="0"/>
                                          <w:marTop w:val="0"/>
                                          <w:marBottom w:val="0"/>
                                          <w:divBdr>
                                            <w:top w:val="none" w:sz="0" w:space="0" w:color="auto"/>
                                            <w:left w:val="none" w:sz="0" w:space="0" w:color="auto"/>
                                            <w:bottom w:val="none" w:sz="0" w:space="0" w:color="auto"/>
                                            <w:right w:val="none" w:sz="0" w:space="0" w:color="auto"/>
                                          </w:divBdr>
                                          <w:divsChild>
                                            <w:div w:id="2676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www.ncbi.nlm.nih.gov/pmc/articles/PMC48968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cbi.nlm.nih.gov/pmc/articles/PMC3745684/"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medicine.medscape.com/article/1240337-trea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218F8-F12A-4BA7-B82F-749CAD6F86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1559FA-320C-438E-A25F-836B4AB95862}">
  <ds:schemaRefs>
    <ds:schemaRef ds:uri="http://schemas.microsoft.com/sharepoint/v3/contenttype/forms"/>
  </ds:schemaRefs>
</ds:datastoreItem>
</file>

<file path=customXml/itemProps3.xml><?xml version="1.0" encoding="utf-8"?>
<ds:datastoreItem xmlns:ds="http://schemas.openxmlformats.org/officeDocument/2006/customXml" ds:itemID="{06D06093-4761-4C64-860B-0F809FAFF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11138</Characters>
  <Application>Microsoft Office Word</Application>
  <DocSecurity>2</DocSecurity>
  <Lines>198</Lines>
  <Paragraphs>65</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2019-04-26T20:11:00Z</cp:lastPrinted>
  <dcterms:created xsi:type="dcterms:W3CDTF">2019-05-22T19:26:00Z</dcterms:created>
  <dcterms:modified xsi:type="dcterms:W3CDTF">2019-05-22T19:26:00Z</dcterms:modified>
</cp:coreProperties>
</file>