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2A5CC" w14:textId="77777777" w:rsidR="0013480A" w:rsidRPr="004269FC" w:rsidRDefault="0013480A" w:rsidP="00D574CA">
      <w:pPr>
        <w:pStyle w:val="PolicyMainHead"/>
        <w:tabs>
          <w:tab w:val="left" w:pos="360"/>
        </w:tabs>
        <w:spacing w:after="0" w:line="240" w:lineRule="auto"/>
        <w:rPr>
          <w:rFonts w:ascii="Times New Roman" w:hAnsi="Times New Roman"/>
          <w:color w:val="00548C"/>
          <w:sz w:val="36"/>
        </w:rPr>
      </w:pPr>
      <w:bookmarkStart w:id="0" w:name="_GoBack"/>
      <w:bookmarkEnd w:id="0"/>
      <w:r w:rsidRPr="004269FC">
        <w:rPr>
          <w:rFonts w:ascii="Times New Roman" w:hAnsi="Times New Roman"/>
          <w:color w:val="00548C"/>
          <w:sz w:val="36"/>
        </w:rPr>
        <w:t xml:space="preserve">Clinical Policy: </w:t>
      </w:r>
      <w:r w:rsidR="006A272E" w:rsidRPr="004269FC">
        <w:rPr>
          <w:rFonts w:ascii="Times New Roman" w:hAnsi="Times New Roman"/>
          <w:color w:val="00548C"/>
          <w:sz w:val="36"/>
        </w:rPr>
        <w:t>Biofeedback</w:t>
      </w:r>
    </w:p>
    <w:p w14:paraId="3A0F548F" w14:textId="77777777" w:rsidR="0013480A" w:rsidRPr="00B23F7E" w:rsidRDefault="0013480A" w:rsidP="00D574CA">
      <w:pPr>
        <w:pStyle w:val="PolicyMainHead"/>
        <w:tabs>
          <w:tab w:val="left" w:pos="360"/>
        </w:tabs>
        <w:spacing w:after="0" w:line="240" w:lineRule="auto"/>
        <w:rPr>
          <w:rFonts w:ascii="Times New Roman" w:hAnsi="Times New Roman"/>
          <w:color w:val="00548C"/>
          <w:sz w:val="24"/>
        </w:rPr>
        <w:sectPr w:rsidR="0013480A" w:rsidRPr="00B23F7E" w:rsidSect="00F30CBB">
          <w:headerReference w:type="default" r:id="rId11"/>
          <w:footerReference w:type="default" r:id="rId12"/>
          <w:headerReference w:type="first" r:id="rId13"/>
          <w:footerReference w:type="first" r:id="rId14"/>
          <w:pgSz w:w="12240" w:h="15840" w:code="1"/>
          <w:pgMar w:top="1170" w:right="907" w:bottom="1152" w:left="1440" w:header="576" w:footer="288" w:gutter="0"/>
          <w:cols w:space="720"/>
          <w:titlePg/>
          <w:docGrid w:linePitch="360"/>
        </w:sectPr>
      </w:pPr>
    </w:p>
    <w:p w14:paraId="792BB66E" w14:textId="77777777" w:rsidR="005A60CF" w:rsidRPr="004269FC" w:rsidRDefault="0013480A" w:rsidP="009F2D44">
      <w:pPr>
        <w:pStyle w:val="PolicyMainHead"/>
        <w:tabs>
          <w:tab w:val="left" w:pos="360"/>
        </w:tabs>
        <w:spacing w:after="0" w:line="240" w:lineRule="auto"/>
        <w:rPr>
          <w:rFonts w:ascii="Times New Roman" w:hAnsi="Times New Roman"/>
          <w:color w:val="00548C"/>
          <w:sz w:val="24"/>
          <w:szCs w:val="24"/>
        </w:rPr>
        <w:sectPr w:rsidR="005A60CF" w:rsidRPr="004269FC" w:rsidSect="00480C09">
          <w:type w:val="continuous"/>
          <w:pgSz w:w="12240" w:h="15840" w:code="1"/>
          <w:pgMar w:top="1440" w:right="1170" w:bottom="1152" w:left="1440" w:header="576" w:footer="288" w:gutter="0"/>
          <w:cols w:num="2" w:space="720"/>
          <w:titlePg/>
          <w:docGrid w:linePitch="360"/>
        </w:sectPr>
      </w:pPr>
      <w:r w:rsidRPr="004269FC">
        <w:rPr>
          <w:rFonts w:ascii="Times New Roman" w:hAnsi="Times New Roman"/>
          <w:color w:val="00548C"/>
          <w:sz w:val="24"/>
          <w:szCs w:val="24"/>
        </w:rPr>
        <w:t>Reference Number: CP.MP.</w:t>
      </w:r>
      <w:r w:rsidR="006A272E" w:rsidRPr="004269FC">
        <w:rPr>
          <w:rFonts w:ascii="Times New Roman" w:hAnsi="Times New Roman"/>
          <w:color w:val="00548C"/>
          <w:sz w:val="24"/>
          <w:szCs w:val="24"/>
        </w:rPr>
        <w:t>168</w:t>
      </w:r>
      <w:r w:rsidRPr="004269FC">
        <w:rPr>
          <w:rFonts w:ascii="Times New Roman" w:hAnsi="Times New Roman"/>
          <w:color w:val="00548C"/>
          <w:sz w:val="24"/>
          <w:szCs w:val="24"/>
        </w:rPr>
        <w:tab/>
      </w:r>
      <w:r w:rsidRPr="004269FC">
        <w:rPr>
          <w:rFonts w:ascii="Times New Roman" w:hAnsi="Times New Roman"/>
          <w:color w:val="00548C"/>
          <w:sz w:val="24"/>
          <w:szCs w:val="24"/>
        </w:rPr>
        <w:tab/>
      </w:r>
      <w:r w:rsidRPr="004269FC">
        <w:rPr>
          <w:rFonts w:ascii="Times New Roman" w:hAnsi="Times New Roman"/>
          <w:color w:val="00548C"/>
          <w:sz w:val="24"/>
          <w:szCs w:val="24"/>
        </w:rPr>
        <w:tab/>
      </w:r>
      <w:r w:rsidRPr="004269FC">
        <w:rPr>
          <w:rFonts w:ascii="Times New Roman" w:hAnsi="Times New Roman"/>
          <w:color w:val="00548C"/>
          <w:sz w:val="24"/>
          <w:szCs w:val="24"/>
        </w:rPr>
        <w:tab/>
      </w:r>
      <w:r w:rsidRPr="004269FC">
        <w:rPr>
          <w:rFonts w:ascii="Times New Roman" w:hAnsi="Times New Roman"/>
          <w:color w:val="00548C"/>
          <w:sz w:val="24"/>
          <w:szCs w:val="24"/>
        </w:rPr>
        <w:tab/>
      </w:r>
      <w:r w:rsidR="005A60CF">
        <w:rPr>
          <w:rFonts w:ascii="Times New Roman" w:hAnsi="Times New Roman"/>
          <w:color w:val="00548C"/>
          <w:sz w:val="24"/>
          <w:szCs w:val="24"/>
        </w:rPr>
        <w:t xml:space="preserve">                 </w:t>
      </w:r>
      <w:hyperlink w:anchor="Coding_Implications" w:history="1">
        <w:r w:rsidR="005A60CF" w:rsidRPr="004269FC">
          <w:rPr>
            <w:rStyle w:val="Hyperlink"/>
            <w:rFonts w:ascii="Times New Roman" w:hAnsi="Times New Roman"/>
            <w:sz w:val="24"/>
            <w:szCs w:val="24"/>
          </w:rPr>
          <w:t>Coding Implications</w:t>
        </w:r>
      </w:hyperlink>
      <w:r w:rsidR="005A60CF" w:rsidRPr="004269FC">
        <w:rPr>
          <w:rFonts w:ascii="Times New Roman" w:hAnsi="Times New Roman"/>
          <w:color w:val="00548C"/>
          <w:sz w:val="24"/>
          <w:szCs w:val="24"/>
        </w:rPr>
        <w:t xml:space="preserve"> </w:t>
      </w:r>
    </w:p>
    <w:p w14:paraId="1D029AEA" w14:textId="04BC5339" w:rsidR="005A60CF" w:rsidRPr="004269FC" w:rsidRDefault="005A60CF" w:rsidP="005A60CF">
      <w:pPr>
        <w:pStyle w:val="PolicyMainHead"/>
        <w:tabs>
          <w:tab w:val="left" w:pos="360"/>
        </w:tabs>
        <w:spacing w:after="0" w:line="240" w:lineRule="auto"/>
        <w:rPr>
          <w:rFonts w:ascii="Times New Roman" w:hAnsi="Times New Roman"/>
          <w:color w:val="00548C"/>
          <w:sz w:val="24"/>
          <w:szCs w:val="24"/>
        </w:rPr>
      </w:pPr>
      <w:r w:rsidRPr="004269FC">
        <w:rPr>
          <w:rFonts w:ascii="Times New Roman" w:hAnsi="Times New Roman"/>
          <w:color w:val="00548C"/>
          <w:sz w:val="24"/>
          <w:szCs w:val="24"/>
        </w:rPr>
        <w:t xml:space="preserve">Last Review Date: </w:t>
      </w:r>
      <w:r w:rsidR="00712536">
        <w:rPr>
          <w:rFonts w:ascii="Times New Roman" w:hAnsi="Times New Roman"/>
          <w:color w:val="00548C"/>
          <w:sz w:val="24"/>
          <w:szCs w:val="24"/>
        </w:rPr>
        <w:t>0</w:t>
      </w:r>
      <w:r w:rsidR="0052131D">
        <w:rPr>
          <w:rFonts w:ascii="Times New Roman" w:hAnsi="Times New Roman"/>
          <w:color w:val="00548C"/>
          <w:sz w:val="24"/>
          <w:szCs w:val="24"/>
        </w:rPr>
        <w:t>5</w:t>
      </w:r>
      <w:r w:rsidRPr="004269FC">
        <w:rPr>
          <w:rFonts w:ascii="Times New Roman" w:hAnsi="Times New Roman"/>
          <w:color w:val="00548C"/>
          <w:sz w:val="24"/>
          <w:szCs w:val="24"/>
        </w:rPr>
        <w:t>/</w:t>
      </w:r>
      <w:r w:rsidR="00712536" w:rsidRPr="004269FC">
        <w:rPr>
          <w:rFonts w:ascii="Times New Roman" w:hAnsi="Times New Roman"/>
          <w:color w:val="00548C"/>
          <w:sz w:val="24"/>
          <w:szCs w:val="24"/>
        </w:rPr>
        <w:t>1</w:t>
      </w:r>
      <w:r w:rsidR="00712536">
        <w:rPr>
          <w:rFonts w:ascii="Times New Roman" w:hAnsi="Times New Roman"/>
          <w:color w:val="00548C"/>
          <w:sz w:val="24"/>
          <w:szCs w:val="24"/>
        </w:rPr>
        <w:t>9</w:t>
      </w:r>
    </w:p>
    <w:p w14:paraId="07FDCDB7" w14:textId="77777777" w:rsidR="005A60CF" w:rsidRPr="004269FC" w:rsidRDefault="00A40093" w:rsidP="005A60CF">
      <w:pPr>
        <w:pStyle w:val="PolicyMainHead"/>
        <w:tabs>
          <w:tab w:val="left" w:pos="360"/>
        </w:tabs>
        <w:spacing w:after="0" w:line="240" w:lineRule="auto"/>
        <w:jc w:val="right"/>
        <w:rPr>
          <w:rStyle w:val="Strong"/>
          <w:rFonts w:ascii="Times New Roman" w:hAnsi="Times New Roman"/>
          <w:b w:val="0"/>
          <w:u w:val="single"/>
        </w:rPr>
        <w:sectPr w:rsidR="005A60CF" w:rsidRPr="004269FC" w:rsidSect="00875924">
          <w:type w:val="continuous"/>
          <w:pgSz w:w="12240" w:h="15840" w:code="1"/>
          <w:pgMar w:top="1440" w:right="1170" w:bottom="1440" w:left="1440" w:header="576" w:footer="288" w:gutter="0"/>
          <w:cols w:num="2" w:space="720"/>
          <w:titlePg/>
          <w:docGrid w:linePitch="360"/>
        </w:sectPr>
      </w:pPr>
      <w:hyperlink w:anchor="Revision_Log" w:history="1">
        <w:r w:rsidR="005A60CF" w:rsidRPr="004269FC">
          <w:rPr>
            <w:rStyle w:val="Hyperlink"/>
            <w:rFonts w:ascii="Times New Roman" w:hAnsi="Times New Roman"/>
            <w:sz w:val="24"/>
            <w:szCs w:val="24"/>
          </w:rPr>
          <w:t>Revision Log</w:t>
        </w:r>
      </w:hyperlink>
      <w:r w:rsidR="005A60CF" w:rsidRPr="004269FC">
        <w:rPr>
          <w:rFonts w:ascii="Times New Roman" w:hAnsi="Times New Roman"/>
          <w:color w:val="00548C"/>
          <w:sz w:val="24"/>
          <w:szCs w:val="24"/>
        </w:rPr>
        <w:t xml:space="preserve"> </w:t>
      </w:r>
    </w:p>
    <w:p w14:paraId="2EC99CA1" w14:textId="77777777" w:rsidR="009F2D44" w:rsidRDefault="009F2D44" w:rsidP="009F2D44">
      <w:pPr>
        <w:pStyle w:val="NormalWeb"/>
        <w:tabs>
          <w:tab w:val="left" w:pos="975"/>
        </w:tabs>
        <w:spacing w:before="0" w:beforeAutospacing="0" w:after="0" w:afterAutospacing="0"/>
        <w:rPr>
          <w:rFonts w:ascii="Times New Roman" w:hAnsi="Times New Roman" w:cs="Times New Roman"/>
          <w:b/>
          <w:color w:val="00548C"/>
        </w:rPr>
      </w:pPr>
    </w:p>
    <w:p w14:paraId="078A9A58" w14:textId="77777777" w:rsidR="0013480A" w:rsidRPr="004269FC" w:rsidRDefault="0013480A" w:rsidP="009F2D44">
      <w:pPr>
        <w:pStyle w:val="NormalWeb"/>
        <w:tabs>
          <w:tab w:val="left" w:pos="975"/>
        </w:tabs>
        <w:spacing w:before="0" w:beforeAutospacing="0" w:after="0" w:afterAutospacing="0"/>
        <w:rPr>
          <w:rStyle w:val="Strong"/>
          <w:rFonts w:ascii="Times New Roman" w:hAnsi="Times New Roman"/>
          <w:b w:val="0"/>
          <w:color w:val="00548C"/>
          <w:u w:val="single"/>
        </w:rPr>
      </w:pPr>
      <w:r w:rsidRPr="004269FC">
        <w:rPr>
          <w:rFonts w:ascii="Times New Roman" w:hAnsi="Times New Roman" w:cs="Times New Roman"/>
          <w:b/>
          <w:color w:val="00548C"/>
        </w:rPr>
        <w:t xml:space="preserve">See </w:t>
      </w:r>
      <w:hyperlink w:anchor="Important_Reminder" w:history="1">
        <w:r w:rsidRPr="004269FC">
          <w:rPr>
            <w:rStyle w:val="Hyperlink"/>
            <w:rFonts w:ascii="Times New Roman" w:hAnsi="Times New Roman"/>
            <w:noProof/>
          </w:rPr>
          <w:t>Important Reminder</w:t>
        </w:r>
      </w:hyperlink>
      <w:r w:rsidRPr="004269FC">
        <w:rPr>
          <w:rFonts w:ascii="Times New Roman" w:hAnsi="Times New Roman" w:cs="Times New Roman"/>
          <w:b/>
          <w:color w:val="00548C"/>
        </w:rPr>
        <w:t xml:space="preserve"> at the end of this policy for important regulatory and legal information.</w:t>
      </w:r>
    </w:p>
    <w:p w14:paraId="6B4FCAE1" w14:textId="77777777" w:rsidR="0013480A" w:rsidRPr="001362D0" w:rsidRDefault="0013480A" w:rsidP="00875924">
      <w:pPr>
        <w:pStyle w:val="NormalWeb"/>
        <w:spacing w:before="0" w:beforeAutospacing="0" w:after="0" w:afterAutospacing="0"/>
        <w:jc w:val="center"/>
        <w:rPr>
          <w:rStyle w:val="Strong"/>
          <w:rFonts w:ascii="Times New Roman" w:hAnsi="Times New Roman"/>
          <w:b w:val="0"/>
          <w:sz w:val="32"/>
          <w:u w:val="single"/>
        </w:rPr>
      </w:pPr>
    </w:p>
    <w:p w14:paraId="6F26FA51" w14:textId="77777777" w:rsidR="0013480A" w:rsidRPr="001362D0" w:rsidRDefault="0013480A" w:rsidP="001362D0">
      <w:pPr>
        <w:pStyle w:val="Heading1"/>
        <w:rPr>
          <w:sz w:val="24"/>
        </w:rPr>
      </w:pPr>
      <w:r w:rsidRPr="001362D0">
        <w:rPr>
          <w:sz w:val="24"/>
        </w:rPr>
        <w:t xml:space="preserve">Description </w:t>
      </w:r>
    </w:p>
    <w:p w14:paraId="455DFAE0" w14:textId="77777777" w:rsidR="0013480A" w:rsidRPr="004269FC" w:rsidRDefault="000C582A" w:rsidP="00196935">
      <w:r w:rsidRPr="004269FC">
        <w:t>Biofeedback therapy provides visual, auditory or other evidence of the status of certain body functions so that a person can exert voluntary control over the functions, and thereby alleviate an abnormal bodily condition. Biofeedback therapy often uses electrical devices to transform bodily signals indicative of such functions as heart rate, blood pressure, skin temperature, salivation, peripheral vasomotor activity, and gross muscle tone into a tone or light, the loudness or brightness of which shows the extent of activity in the function being measured.</w:t>
      </w:r>
      <w:r w:rsidRPr="004269FC">
        <w:rPr>
          <w:vertAlign w:val="superscript"/>
        </w:rPr>
        <w:t>1</w:t>
      </w:r>
    </w:p>
    <w:p w14:paraId="416E2A2F" w14:textId="77777777" w:rsidR="000C582A" w:rsidRPr="004269FC" w:rsidRDefault="000C582A" w:rsidP="00196935"/>
    <w:p w14:paraId="3A551980" w14:textId="77777777" w:rsidR="0013480A" w:rsidRPr="004269FC" w:rsidRDefault="0013480A">
      <w:pPr>
        <w:pStyle w:val="Heading2"/>
        <w:rPr>
          <w:u w:val="none"/>
        </w:rPr>
      </w:pPr>
      <w:r w:rsidRPr="004269FC">
        <w:rPr>
          <w:u w:val="none"/>
        </w:rPr>
        <w:t>Policy/Criteria</w:t>
      </w:r>
    </w:p>
    <w:p w14:paraId="6DC027D4" w14:textId="52C645B6" w:rsidR="00233814" w:rsidRPr="004269FC" w:rsidRDefault="0013480A" w:rsidP="0062421C">
      <w:pPr>
        <w:numPr>
          <w:ilvl w:val="0"/>
          <w:numId w:val="11"/>
        </w:numPr>
        <w:ind w:left="360"/>
      </w:pPr>
      <w:r w:rsidRPr="004269FC">
        <w:rPr>
          <w:bCs/>
          <w:color w:val="000000"/>
        </w:rPr>
        <w:t>It is the policy of health plans affiliated with Centene Corporation</w:t>
      </w:r>
      <w:r w:rsidRPr="004269FC">
        <w:rPr>
          <w:bCs/>
          <w:color w:val="000000"/>
          <w:vertAlign w:val="superscript"/>
        </w:rPr>
        <w:t>®</w:t>
      </w:r>
      <w:r w:rsidRPr="004269FC">
        <w:rPr>
          <w:bCs/>
          <w:color w:val="000000"/>
        </w:rPr>
        <w:t xml:space="preserve"> </w:t>
      </w:r>
      <w:r w:rsidRPr="004269FC">
        <w:t xml:space="preserve">that </w:t>
      </w:r>
      <w:r w:rsidR="00233814" w:rsidRPr="004269FC">
        <w:t xml:space="preserve">biofeedback </w:t>
      </w:r>
      <w:r w:rsidRPr="004269FC">
        <w:t xml:space="preserve">is </w:t>
      </w:r>
      <w:r w:rsidRPr="004269FC">
        <w:rPr>
          <w:b/>
        </w:rPr>
        <w:t>medically necessary</w:t>
      </w:r>
      <w:r w:rsidRPr="004269FC">
        <w:t xml:space="preserve"> </w:t>
      </w:r>
      <w:r w:rsidR="00233814" w:rsidRPr="004269FC">
        <w:t>when the basic and treatment-specific criteria in A and B are met.</w:t>
      </w:r>
    </w:p>
    <w:p w14:paraId="7FC4D22B" w14:textId="77777777" w:rsidR="0013480A" w:rsidRPr="004269FC" w:rsidRDefault="0013480A" w:rsidP="0062421C">
      <w:pPr>
        <w:ind w:left="360"/>
      </w:pPr>
    </w:p>
    <w:p w14:paraId="3CBFBA07" w14:textId="77777777" w:rsidR="00BD22B3" w:rsidRPr="004269FC" w:rsidRDefault="00103084" w:rsidP="0062421C">
      <w:pPr>
        <w:ind w:left="360"/>
      </w:pPr>
      <w:r w:rsidRPr="004269FC">
        <w:t xml:space="preserve">Reconsideration of medical necessity should be made if more </w:t>
      </w:r>
      <w:r w:rsidR="00BD22B3" w:rsidRPr="004269FC">
        <w:t>than 14 biofeedback treatments sessions in a 12 month period</w:t>
      </w:r>
      <w:r w:rsidR="0073111A">
        <w:t xml:space="preserve"> are necessary.</w:t>
      </w:r>
    </w:p>
    <w:p w14:paraId="22506281" w14:textId="77777777" w:rsidR="00BD22B3" w:rsidRPr="004269FC" w:rsidRDefault="00BD22B3" w:rsidP="00233814">
      <w:pPr>
        <w:ind w:left="360"/>
      </w:pPr>
    </w:p>
    <w:p w14:paraId="00DFBF0A" w14:textId="77777777" w:rsidR="00233814" w:rsidRPr="004269FC" w:rsidRDefault="00233814" w:rsidP="00233814">
      <w:pPr>
        <w:numPr>
          <w:ilvl w:val="1"/>
          <w:numId w:val="11"/>
        </w:numPr>
        <w:ind w:left="360" w:firstLine="0"/>
      </w:pPr>
      <w:r w:rsidRPr="004269FC">
        <w:t>Basic Criteria</w:t>
      </w:r>
      <w:r w:rsidR="00414C8E">
        <w:t xml:space="preserve"> </w:t>
      </w:r>
      <w:r w:rsidRPr="004269FC">
        <w:t>- meets all of the following:</w:t>
      </w:r>
    </w:p>
    <w:p w14:paraId="22B0A3BF" w14:textId="55045F54" w:rsidR="007C6622" w:rsidRDefault="00233814" w:rsidP="00BD22B3">
      <w:pPr>
        <w:numPr>
          <w:ilvl w:val="2"/>
          <w:numId w:val="23"/>
        </w:numPr>
        <w:ind w:left="1080" w:hanging="360"/>
      </w:pPr>
      <w:r w:rsidRPr="004269FC">
        <w:t xml:space="preserve">The </w:t>
      </w:r>
      <w:r w:rsidR="006F2A76" w:rsidRPr="004269FC">
        <w:t xml:space="preserve">individual </w:t>
      </w:r>
      <w:r w:rsidRPr="004269FC">
        <w:t>is motivated to actively participate in the treatment plan</w:t>
      </w:r>
      <w:r w:rsidR="007C6622">
        <w:t xml:space="preserve"> and agrees to the plan of care requirements, </w:t>
      </w:r>
      <w:r w:rsidRPr="004269FC">
        <w:t xml:space="preserve"> (e.g., practice and follow-through at home);</w:t>
      </w:r>
    </w:p>
    <w:p w14:paraId="6D86AA4E" w14:textId="77777777" w:rsidR="00233814" w:rsidRPr="004269FC" w:rsidRDefault="00233814" w:rsidP="00F30CBB">
      <w:pPr>
        <w:numPr>
          <w:ilvl w:val="3"/>
          <w:numId w:val="23"/>
        </w:numPr>
        <w:ind w:left="1440"/>
      </w:pPr>
      <w:r w:rsidRPr="004269FC">
        <w:t xml:space="preserve"> </w:t>
      </w:r>
      <w:r w:rsidR="007C6622">
        <w:t>If a child, support and guidance are available for fulfillment of the plan of care, (e.g., practice and follow-through at home);</w:t>
      </w:r>
    </w:p>
    <w:p w14:paraId="62406875" w14:textId="77777777" w:rsidR="00295311" w:rsidRPr="004269FC" w:rsidRDefault="00233814" w:rsidP="00BD22B3">
      <w:pPr>
        <w:numPr>
          <w:ilvl w:val="2"/>
          <w:numId w:val="23"/>
        </w:numPr>
        <w:ind w:left="1080" w:hanging="360"/>
      </w:pPr>
      <w:r w:rsidRPr="004269FC">
        <w:t xml:space="preserve">The </w:t>
      </w:r>
      <w:r w:rsidR="006F2A76" w:rsidRPr="004269FC">
        <w:t xml:space="preserve">individual </w:t>
      </w:r>
      <w:r w:rsidR="00C86B16" w:rsidRPr="004269FC">
        <w:t xml:space="preserve">is </w:t>
      </w:r>
      <w:r w:rsidRPr="004269FC">
        <w:t xml:space="preserve">capable of participating in the treatment plan (physically as well as intellectually); </w:t>
      </w:r>
    </w:p>
    <w:p w14:paraId="45FA0ABD" w14:textId="77777777" w:rsidR="00233814" w:rsidRPr="004269FC" w:rsidRDefault="00233814" w:rsidP="00BD22B3">
      <w:pPr>
        <w:numPr>
          <w:ilvl w:val="2"/>
          <w:numId w:val="23"/>
        </w:numPr>
        <w:ind w:left="1080" w:hanging="360"/>
      </w:pPr>
      <w:r w:rsidRPr="004269FC">
        <w:t xml:space="preserve">There is a readily identifiable and measurable response; </w:t>
      </w:r>
    </w:p>
    <w:p w14:paraId="247AC3DD" w14:textId="77777777" w:rsidR="00233814" w:rsidRPr="004269FC" w:rsidRDefault="00233814" w:rsidP="00BD22B3">
      <w:pPr>
        <w:numPr>
          <w:ilvl w:val="2"/>
          <w:numId w:val="23"/>
        </w:numPr>
        <w:ind w:left="1080" w:hanging="360"/>
      </w:pPr>
      <w:r w:rsidRPr="004269FC">
        <w:t xml:space="preserve">Biofeedback training is performed </w:t>
      </w:r>
      <w:r w:rsidR="0001505B">
        <w:t xml:space="preserve">by a </w:t>
      </w:r>
      <w:r w:rsidRPr="004269FC">
        <w:t>physician or qualified non-physician practitioner</w:t>
      </w:r>
      <w:r w:rsidR="0001505B">
        <w:t xml:space="preserve"> which can </w:t>
      </w:r>
      <w:r w:rsidRPr="004269FC">
        <w:t>include physica</w:t>
      </w:r>
      <w:r w:rsidR="006A461C">
        <w:t>l and occupational therapists, nurse practitioners, physician assistants, and clinical nurse s</w:t>
      </w:r>
      <w:r w:rsidRPr="004269FC">
        <w:t>pecialists</w:t>
      </w:r>
      <w:r w:rsidR="0099701F">
        <w:t>.</w:t>
      </w:r>
    </w:p>
    <w:p w14:paraId="0B2672E7" w14:textId="77777777" w:rsidR="00233814" w:rsidRPr="004269FC" w:rsidRDefault="00233814" w:rsidP="003163AD">
      <w:pPr>
        <w:numPr>
          <w:ilvl w:val="1"/>
          <w:numId w:val="11"/>
        </w:numPr>
        <w:ind w:left="720"/>
      </w:pPr>
      <w:r w:rsidRPr="004269FC">
        <w:t>Treatment-Specific Criteria</w:t>
      </w:r>
      <w:r w:rsidR="004A7D0C" w:rsidRPr="004269FC">
        <w:t xml:space="preserve"> - meets any of the following:</w:t>
      </w:r>
    </w:p>
    <w:p w14:paraId="5D12C74E" w14:textId="77777777" w:rsidR="00295311" w:rsidRPr="004269FC" w:rsidRDefault="00FE11CB" w:rsidP="003A46A9">
      <w:pPr>
        <w:numPr>
          <w:ilvl w:val="2"/>
          <w:numId w:val="11"/>
        </w:numPr>
        <w:ind w:left="1080" w:hanging="360"/>
      </w:pPr>
      <w:r w:rsidRPr="004269FC">
        <w:t>S</w:t>
      </w:r>
      <w:r w:rsidR="00BD22B3" w:rsidRPr="004269FC">
        <w:t>tress, urge</w:t>
      </w:r>
      <w:r w:rsidR="0001505B">
        <w:t>,</w:t>
      </w:r>
      <w:r w:rsidR="00BD22B3" w:rsidRPr="004269FC">
        <w:t xml:space="preserve"> or mixed urinary incontinence in cognitively intact adult females who have failed a documented </w:t>
      </w:r>
      <w:r w:rsidR="006A461C">
        <w:t xml:space="preserve">four </w:t>
      </w:r>
      <w:r w:rsidR="00D81F95">
        <w:t xml:space="preserve">week </w:t>
      </w:r>
      <w:r w:rsidR="00BD22B3" w:rsidRPr="004269FC">
        <w:t xml:space="preserve">trial of Kegel pelvic muscle exercise training; </w:t>
      </w:r>
    </w:p>
    <w:p w14:paraId="3474EECD" w14:textId="77777777" w:rsidR="00BD22B3" w:rsidRPr="004269FC" w:rsidRDefault="00FE11CB" w:rsidP="00BD22B3">
      <w:pPr>
        <w:numPr>
          <w:ilvl w:val="2"/>
          <w:numId w:val="11"/>
        </w:numPr>
        <w:ind w:left="1080" w:hanging="360"/>
      </w:pPr>
      <w:r w:rsidRPr="004269FC">
        <w:t>Dy</w:t>
      </w:r>
      <w:r w:rsidR="00BD22B3" w:rsidRPr="004269FC">
        <w:t>sfunctional voiding in children, when other alternative options have been unsuccessful (</w:t>
      </w:r>
      <w:r w:rsidR="004A7D0C" w:rsidRPr="004269FC">
        <w:t xml:space="preserve">e.g., </w:t>
      </w:r>
      <w:r w:rsidR="00BD22B3" w:rsidRPr="004269FC">
        <w:t xml:space="preserve">timed voiding, prophylactic antibacterial therapy </w:t>
      </w:r>
      <w:r w:rsidR="004A7D0C" w:rsidRPr="004269FC">
        <w:t xml:space="preserve">for </w:t>
      </w:r>
      <w:r w:rsidR="00BD22B3" w:rsidRPr="004269FC">
        <w:t xml:space="preserve">recurrent </w:t>
      </w:r>
      <w:r w:rsidR="006A461C">
        <w:t>urinary tract infection</w:t>
      </w:r>
      <w:r w:rsidR="00BD22B3" w:rsidRPr="004269FC">
        <w:t xml:space="preserve">s, </w:t>
      </w:r>
      <w:r w:rsidRPr="004269FC">
        <w:t>short</w:t>
      </w:r>
      <w:r w:rsidR="004A7D0C" w:rsidRPr="004269FC">
        <w:t xml:space="preserve"> term </w:t>
      </w:r>
      <w:r w:rsidR="00BD22B3" w:rsidRPr="004269FC">
        <w:t xml:space="preserve">anticholinergic medications to </w:t>
      </w:r>
      <w:r w:rsidR="004A7D0C" w:rsidRPr="004269FC">
        <w:t xml:space="preserve">assist </w:t>
      </w:r>
      <w:r w:rsidR="00BD22B3" w:rsidRPr="004269FC">
        <w:t>develop</w:t>
      </w:r>
      <w:r w:rsidR="004A7D0C" w:rsidRPr="004269FC">
        <w:t xml:space="preserve">ing </w:t>
      </w:r>
      <w:r w:rsidR="00BD22B3" w:rsidRPr="004269FC">
        <w:t xml:space="preserve">a normal voiding pattern); </w:t>
      </w:r>
    </w:p>
    <w:p w14:paraId="04FA04CB" w14:textId="77777777" w:rsidR="00AB4B3E" w:rsidRPr="004269FC" w:rsidRDefault="00FE11CB" w:rsidP="00AB4B3E">
      <w:pPr>
        <w:numPr>
          <w:ilvl w:val="2"/>
          <w:numId w:val="11"/>
        </w:numPr>
        <w:ind w:left="1080" w:hanging="360"/>
      </w:pPr>
      <w:r w:rsidRPr="004269FC">
        <w:t>F</w:t>
      </w:r>
      <w:r w:rsidR="00BD22B3" w:rsidRPr="004269FC">
        <w:t xml:space="preserve">ecal incontinence </w:t>
      </w:r>
      <w:r w:rsidR="00AB4B3E" w:rsidRPr="004269FC">
        <w:t>when either of the following criteria have been met:</w:t>
      </w:r>
    </w:p>
    <w:p w14:paraId="06969CD1" w14:textId="77777777" w:rsidR="00AB4B3E" w:rsidRPr="004269FC" w:rsidRDefault="00AB4B3E" w:rsidP="00AB4B3E">
      <w:pPr>
        <w:numPr>
          <w:ilvl w:val="0"/>
          <w:numId w:val="25"/>
        </w:numPr>
        <w:ind w:left="1440"/>
      </w:pPr>
      <w:r w:rsidRPr="004269FC">
        <w:t xml:space="preserve">Anorectal manometry demonstrates weakness of the external anal sphincter; </w:t>
      </w:r>
    </w:p>
    <w:p w14:paraId="5B0AB2D3" w14:textId="77777777" w:rsidR="00AB4B3E" w:rsidRPr="004269FC" w:rsidRDefault="00AB4B3E" w:rsidP="00AB4B3E">
      <w:pPr>
        <w:numPr>
          <w:ilvl w:val="0"/>
          <w:numId w:val="25"/>
        </w:numPr>
        <w:ind w:left="1440"/>
      </w:pPr>
      <w:r w:rsidRPr="004269FC">
        <w:t>Decreased ability to perceive rectal distension because of nerve injury;</w:t>
      </w:r>
    </w:p>
    <w:p w14:paraId="447B2BA2" w14:textId="77777777" w:rsidR="00BD22B3" w:rsidRPr="004269FC" w:rsidRDefault="00BD22B3" w:rsidP="00BD22B3">
      <w:pPr>
        <w:numPr>
          <w:ilvl w:val="2"/>
          <w:numId w:val="11"/>
        </w:numPr>
        <w:ind w:left="1080" w:hanging="360"/>
      </w:pPr>
      <w:r w:rsidRPr="004269FC">
        <w:t xml:space="preserve">Chronic constipation in patients with organic neuromuscular impairment </w:t>
      </w:r>
      <w:r w:rsidR="00D81F95">
        <w:t>who</w:t>
      </w:r>
      <w:r w:rsidRPr="004269FC">
        <w:t xml:space="preserve"> have difficulty with outlet obstruction; </w:t>
      </w:r>
    </w:p>
    <w:p w14:paraId="4445BDAB" w14:textId="77777777" w:rsidR="00BD22B3" w:rsidRPr="004269FC" w:rsidRDefault="00BD22B3" w:rsidP="00BD22B3">
      <w:pPr>
        <w:numPr>
          <w:ilvl w:val="2"/>
          <w:numId w:val="11"/>
        </w:numPr>
        <w:ind w:left="1080" w:hanging="360"/>
      </w:pPr>
      <w:r w:rsidRPr="004269FC">
        <w:t>Anal muscle abnormalities of spasticity, incapacitating muscle spasm, and/or muscle weakness</w:t>
      </w:r>
      <w:r w:rsidR="00554FB9" w:rsidRPr="004269FC">
        <w:t>;</w:t>
      </w:r>
      <w:r w:rsidRPr="004269FC">
        <w:t xml:space="preserve"> </w:t>
      </w:r>
    </w:p>
    <w:p w14:paraId="428A1E77" w14:textId="77777777" w:rsidR="00BD22B3" w:rsidRPr="004269FC" w:rsidRDefault="00BD22B3" w:rsidP="003A46A9">
      <w:pPr>
        <w:numPr>
          <w:ilvl w:val="2"/>
          <w:numId w:val="11"/>
        </w:numPr>
        <w:tabs>
          <w:tab w:val="left" w:pos="1080"/>
        </w:tabs>
        <w:ind w:left="1080" w:hanging="360"/>
      </w:pPr>
      <w:r w:rsidRPr="004269FC">
        <w:lastRenderedPageBreak/>
        <w:t xml:space="preserve">Thermal biofeedback combined with relaxation training or </w:t>
      </w:r>
      <w:r w:rsidR="003A46A9" w:rsidRPr="004269FC">
        <w:t>electromyography (</w:t>
      </w:r>
      <w:r w:rsidRPr="004269FC">
        <w:t>EMG</w:t>
      </w:r>
      <w:r w:rsidR="003A46A9" w:rsidRPr="004269FC">
        <w:t>)</w:t>
      </w:r>
      <w:r w:rsidRPr="004269FC">
        <w:t xml:space="preserve"> biofeedback as treatment options in management of tension and migraine headaches; </w:t>
      </w:r>
    </w:p>
    <w:p w14:paraId="47BF90CC" w14:textId="77777777" w:rsidR="00BD22B3" w:rsidRPr="004269FC" w:rsidRDefault="00BD22B3" w:rsidP="00BD22B3">
      <w:pPr>
        <w:numPr>
          <w:ilvl w:val="2"/>
          <w:numId w:val="11"/>
        </w:numPr>
        <w:ind w:left="1080" w:hanging="360"/>
      </w:pPr>
      <w:r w:rsidRPr="004269FC">
        <w:t>Chronic pain as part of a rehabilitation program</w:t>
      </w:r>
      <w:r w:rsidR="004A7D0C" w:rsidRPr="004269FC">
        <w:t>;</w:t>
      </w:r>
    </w:p>
    <w:p w14:paraId="1B22CC96" w14:textId="77777777" w:rsidR="00BD22B3" w:rsidRPr="004269FC" w:rsidRDefault="00FE11CB" w:rsidP="00BD22B3">
      <w:pPr>
        <w:numPr>
          <w:ilvl w:val="2"/>
          <w:numId w:val="11"/>
        </w:numPr>
        <w:ind w:left="1080" w:hanging="360"/>
      </w:pPr>
      <w:r w:rsidRPr="004269FC">
        <w:t>Mu</w:t>
      </w:r>
      <w:r w:rsidR="00BD22B3" w:rsidRPr="004269FC">
        <w:t xml:space="preserve">scle re-education of specific muscle groups or for treating pathological muscle abnormalities of spasticity, incapacitating muscle spasm (including pain due to spasm), or weakness when more conventional treatments (heat, cold, massage, exercise, support) have not been successful. </w:t>
      </w:r>
    </w:p>
    <w:p w14:paraId="210F4E3E" w14:textId="77777777" w:rsidR="0013480A" w:rsidRPr="004269FC" w:rsidRDefault="0013480A" w:rsidP="00103084">
      <w:pPr>
        <w:ind w:left="720"/>
      </w:pPr>
    </w:p>
    <w:p w14:paraId="63395964" w14:textId="77777777" w:rsidR="0013480A" w:rsidRPr="004269FC" w:rsidRDefault="00103084" w:rsidP="00103084">
      <w:pPr>
        <w:numPr>
          <w:ilvl w:val="0"/>
          <w:numId w:val="11"/>
        </w:numPr>
        <w:ind w:left="360"/>
      </w:pPr>
      <w:r w:rsidRPr="004269FC">
        <w:t>It is the policy of health plans affiliated with Centene Corporation that biofeedback</w:t>
      </w:r>
      <w:r w:rsidR="0099701F">
        <w:t xml:space="preserve"> (including neurofeedback)</w:t>
      </w:r>
      <w:r w:rsidRPr="004269FC">
        <w:t xml:space="preserve"> is </w:t>
      </w:r>
      <w:r w:rsidRPr="004269FC">
        <w:rPr>
          <w:b/>
        </w:rPr>
        <w:t>experimental/investigational</w:t>
      </w:r>
      <w:r w:rsidRPr="004269FC">
        <w:t xml:space="preserve"> for any other circumstances than those specified above.</w:t>
      </w:r>
    </w:p>
    <w:p w14:paraId="2A274C5D" w14:textId="77777777" w:rsidR="00A7003A" w:rsidRPr="004269FC" w:rsidRDefault="00A7003A" w:rsidP="00A7003A">
      <w:pPr>
        <w:ind w:left="360"/>
      </w:pPr>
    </w:p>
    <w:p w14:paraId="40A94900" w14:textId="77777777" w:rsidR="0013480A" w:rsidRPr="004269FC" w:rsidRDefault="00A7003A" w:rsidP="00C96847">
      <w:pPr>
        <w:rPr>
          <w:b/>
        </w:rPr>
      </w:pPr>
      <w:r w:rsidRPr="004269FC">
        <w:rPr>
          <w:b/>
        </w:rPr>
        <w:t>Background</w:t>
      </w:r>
    </w:p>
    <w:p w14:paraId="39626E33" w14:textId="77777777" w:rsidR="00A7003A" w:rsidRPr="004269FC" w:rsidRDefault="00A7003A" w:rsidP="00C96847">
      <w:r w:rsidRPr="004269FC">
        <w:t>The three most commonly used forms of biofeedback therapy are: (1) electromyography (EMG), which measures muscle tension; (2) thermal biofeedback, which measures skin temperature; and (3) neurofeedback or electroencephalography (EEG), which measures brain wave activity. Various forms of biofeedback appear to be effective for a narrow range of health problems.</w:t>
      </w:r>
    </w:p>
    <w:p w14:paraId="102A7545" w14:textId="77777777" w:rsidR="00522977" w:rsidRPr="004269FC" w:rsidRDefault="00522977" w:rsidP="00C96847"/>
    <w:p w14:paraId="47E18A45" w14:textId="77777777" w:rsidR="00431032" w:rsidRPr="004269FC" w:rsidRDefault="00131AEF" w:rsidP="00170B14">
      <w:pPr>
        <w:rPr>
          <w:vertAlign w:val="superscript"/>
        </w:rPr>
      </w:pPr>
      <w:r w:rsidRPr="004269FC">
        <w:t xml:space="preserve">First line </w:t>
      </w:r>
      <w:r w:rsidR="00C86B16" w:rsidRPr="004269FC">
        <w:t>treatment of urinary incontinence (stress, urgency, mixed) consists</w:t>
      </w:r>
      <w:r w:rsidR="003A46A9" w:rsidRPr="004269FC">
        <w:t xml:space="preserve"> of behavioral treatments </w:t>
      </w:r>
      <w:r w:rsidRPr="004269FC">
        <w:t>with a</w:t>
      </w:r>
      <w:r w:rsidR="00BF3F7E" w:rsidRPr="004269FC">
        <w:t>n</w:t>
      </w:r>
      <w:r w:rsidRPr="004269FC">
        <w:t xml:space="preserve"> emphasis </w:t>
      </w:r>
      <w:r w:rsidR="00C86B16" w:rsidRPr="004269FC">
        <w:t>on improving</w:t>
      </w:r>
      <w:r w:rsidR="00522977" w:rsidRPr="004269FC">
        <w:t xml:space="preserve"> quality of life.  Initial treatment includes lifestyle modifications and pelvic floor muscle exercise (Keg</w:t>
      </w:r>
      <w:r w:rsidR="006E777C" w:rsidRPr="004269FC">
        <w:t>e</w:t>
      </w:r>
      <w:r w:rsidR="00522977" w:rsidRPr="004269FC">
        <w:t>l exercises</w:t>
      </w:r>
      <w:r w:rsidRPr="004269FC">
        <w:t xml:space="preserve">).  Biofeedback is used as an adjunct to pelvic floor muscle exercises.  By providing individuals with concurrent feedback on muscle tone, biofeedback is intended to improve the </w:t>
      </w:r>
      <w:r w:rsidR="00C86B16" w:rsidRPr="004269FC">
        <w:t>patient’s</w:t>
      </w:r>
      <w:r w:rsidRPr="004269FC">
        <w:t xml:space="preserve"> ability to perform pelvic muscle exercises.</w:t>
      </w:r>
      <w:r w:rsidR="004D7C75">
        <w:t xml:space="preserve"> </w:t>
      </w:r>
      <w:r w:rsidR="00BA553B" w:rsidRPr="004269FC">
        <w:t xml:space="preserve"> Augmented versions also use abdominal and perineal EMG recordings to demonstrate improper contraction of abdominal and gluteal muscles.  </w:t>
      </w:r>
      <w:r w:rsidR="00431032" w:rsidRPr="004269FC">
        <w:t>A systematic review and meta-analysis of 17 randomized or quasi-randomized trials found that compared with women who received pelvic floor muscle exercises alone, those that also received biofeedback were more likely to report improvement or cure of urinary incontinence</w:t>
      </w:r>
      <w:r w:rsidR="00BF3F7E" w:rsidRPr="004269FC">
        <w:t>.</w:t>
      </w:r>
      <w:r w:rsidR="00431032" w:rsidRPr="004269FC">
        <w:rPr>
          <w:vertAlign w:val="superscript"/>
        </w:rPr>
        <w:t>1</w:t>
      </w:r>
    </w:p>
    <w:p w14:paraId="3282475E" w14:textId="77777777" w:rsidR="005D4D85" w:rsidRPr="004269FC" w:rsidRDefault="005D4D85" w:rsidP="00170B14">
      <w:pPr>
        <w:rPr>
          <w:vertAlign w:val="superscript"/>
        </w:rPr>
      </w:pPr>
    </w:p>
    <w:p w14:paraId="4AF8B3DE" w14:textId="77777777" w:rsidR="005D4D85" w:rsidRPr="004269FC" w:rsidRDefault="008203E5" w:rsidP="00170B14">
      <w:r w:rsidRPr="004269FC">
        <w:t xml:space="preserve">Dysfunctional voiding in children is a learned behavior of abnormal urination, which often evolves from attempts to suppress impending or active bladder contractions by inappropriately contracting the pelvic floor muscles, thereby tightening the urinary sphincter complex. Symptoms vary but daytime wetness and urinary tract infections are common. </w:t>
      </w:r>
      <w:r w:rsidR="004D7C75">
        <w:t xml:space="preserve"> </w:t>
      </w:r>
      <w:r w:rsidRPr="004269FC">
        <w:t xml:space="preserve">Other urinary symptoms include urgency, frequency, infrequency, and constipation. </w:t>
      </w:r>
      <w:r w:rsidR="004D7C75">
        <w:t xml:space="preserve"> </w:t>
      </w:r>
      <w:r w:rsidRPr="004269FC">
        <w:t>Usual care of dysfunctional voiding includes voiding on a schedule and keeping voiding diaries. Kegel or pelvic floor exercises may help children gain conscious control of pelvic floor musculature and urination.</w:t>
      </w:r>
      <w:r w:rsidRPr="004269FC">
        <w:rPr>
          <w:vertAlign w:val="superscript"/>
        </w:rPr>
        <w:t xml:space="preserve">2 </w:t>
      </w:r>
      <w:r w:rsidR="00D81F95">
        <w:rPr>
          <w:vertAlign w:val="superscript"/>
        </w:rPr>
        <w:t xml:space="preserve"> </w:t>
      </w:r>
      <w:r w:rsidR="005D4D85" w:rsidRPr="004269FC">
        <w:t>Biofeedback teaches children how to identify and control the muscle groups involved in voiding</w:t>
      </w:r>
      <w:r w:rsidRPr="004269FC">
        <w:t xml:space="preserve">. </w:t>
      </w:r>
      <w:r w:rsidR="004D7C75">
        <w:t xml:space="preserve"> </w:t>
      </w:r>
      <w:r w:rsidRPr="004269FC">
        <w:t>It is reserved for children with dysfunctional voiding despite an adequate trial of conservative therapy and/or pharmacotherapy.  Available studies suggest that biofeedback-directed pelvic floor exercises can improve urinary function in dysfunctional voiding, including those who have previously failed conservative treatment.</w:t>
      </w:r>
      <w:r w:rsidR="004D7C75">
        <w:t xml:space="preserve"> </w:t>
      </w:r>
      <w:r w:rsidRPr="004269FC">
        <w:t xml:space="preserve"> Biofeedback therapy may result in a faster resolution of symptoms than traditional pelvic floor training without biofeedback.</w:t>
      </w:r>
    </w:p>
    <w:p w14:paraId="421939DE" w14:textId="77777777" w:rsidR="00D51ACA" w:rsidRPr="004269FC" w:rsidRDefault="00D51ACA" w:rsidP="00170B14"/>
    <w:p w14:paraId="5CCDDAE7" w14:textId="77777777" w:rsidR="00D51ACA" w:rsidRPr="004269FC" w:rsidRDefault="0062421C" w:rsidP="00D51ACA">
      <w:pPr>
        <w:rPr>
          <w:vertAlign w:val="superscript"/>
        </w:rPr>
      </w:pPr>
      <w:r w:rsidRPr="004269FC">
        <w:t xml:space="preserve">Biofeedback therapy improves symptoms in more than 70% of patients with defecatory disorders.  </w:t>
      </w:r>
      <w:r w:rsidR="00D51ACA" w:rsidRPr="004269FC">
        <w:t>Biofeedback can be useful in the treatment of constipation to train patients to relax their pelvic</w:t>
      </w:r>
      <w:r w:rsidRPr="004269FC">
        <w:t xml:space="preserve"> </w:t>
      </w:r>
      <w:r w:rsidR="00D51ACA" w:rsidRPr="004269FC">
        <w:t xml:space="preserve">floor muscles during straining and to correlate relaxation and pushing to achieve </w:t>
      </w:r>
      <w:r w:rsidR="00D51ACA" w:rsidRPr="004269FC">
        <w:lastRenderedPageBreak/>
        <w:t>defecation.</w:t>
      </w:r>
      <w:r w:rsidR="003A46A9" w:rsidRPr="004269FC">
        <w:t xml:space="preserve">  </w:t>
      </w:r>
      <w:r w:rsidR="00D51ACA" w:rsidRPr="004269FC">
        <w:t>By the relearning process, the non</w:t>
      </w:r>
      <w:r w:rsidR="0001505B">
        <w:t>-</w:t>
      </w:r>
      <w:r w:rsidR="00D51ACA" w:rsidRPr="004269FC">
        <w:t xml:space="preserve">relaxing pelvic floor is gradually suppressed and normal coordination restored. </w:t>
      </w:r>
      <w:r w:rsidR="004D7C75">
        <w:t xml:space="preserve"> </w:t>
      </w:r>
      <w:r w:rsidR="00D51ACA" w:rsidRPr="004269FC">
        <w:t>Biofeedback has been shown to improve rectoanal coordination during defecation and symptoms of constipation despite reduced laxative use.</w:t>
      </w:r>
      <w:r w:rsidR="003A46A9" w:rsidRPr="004269FC">
        <w:t xml:space="preserve"> Biofeedback is also used in the treatment of fecal incontinence.</w:t>
      </w:r>
      <w:r w:rsidRPr="004269FC">
        <w:rPr>
          <w:vertAlign w:val="superscript"/>
        </w:rPr>
        <w:t>3</w:t>
      </w:r>
    </w:p>
    <w:p w14:paraId="6053C747" w14:textId="77777777" w:rsidR="00D51ACA" w:rsidRPr="004269FC" w:rsidRDefault="00D51ACA" w:rsidP="00D51ACA"/>
    <w:p w14:paraId="0910D633" w14:textId="77777777" w:rsidR="00D51ACA" w:rsidRPr="004269FC" w:rsidRDefault="00D51ACA" w:rsidP="00D51ACA">
      <w:pPr>
        <w:rPr>
          <w:i/>
        </w:rPr>
      </w:pPr>
      <w:r w:rsidRPr="004269FC">
        <w:rPr>
          <w:i/>
        </w:rPr>
        <w:t xml:space="preserve">American Gastroenterological Association </w:t>
      </w:r>
    </w:p>
    <w:p w14:paraId="65F6091D" w14:textId="77777777" w:rsidR="00D51ACA" w:rsidRPr="004269FC" w:rsidRDefault="00D51ACA" w:rsidP="00D51ACA">
      <w:r w:rsidRPr="004269FC">
        <w:t>Pelvic floor retraining by biofeedback therapy rather than laxatives is recommended for defecatory disorders (strong recommendation, high-quality evidence).</w:t>
      </w:r>
      <w:r w:rsidR="0062421C" w:rsidRPr="004269FC">
        <w:rPr>
          <w:vertAlign w:val="superscript"/>
        </w:rPr>
        <w:t>3</w:t>
      </w:r>
    </w:p>
    <w:p w14:paraId="2AC88C48" w14:textId="77777777" w:rsidR="00431032" w:rsidRPr="004269FC" w:rsidRDefault="00431032" w:rsidP="00170B14">
      <w:pPr>
        <w:rPr>
          <w:i/>
        </w:rPr>
      </w:pPr>
    </w:p>
    <w:p w14:paraId="6ABA6B76" w14:textId="77777777" w:rsidR="003C0705" w:rsidRPr="004269FC" w:rsidRDefault="003C0705" w:rsidP="00170B14">
      <w:pPr>
        <w:rPr>
          <w:i/>
        </w:rPr>
      </w:pPr>
      <w:r w:rsidRPr="004269FC">
        <w:rPr>
          <w:i/>
        </w:rPr>
        <w:t>American Society of Colon and Rectal Surgeons</w:t>
      </w:r>
    </w:p>
    <w:p w14:paraId="0CB98EBF" w14:textId="77777777" w:rsidR="00AB4B3E" w:rsidRPr="004269FC" w:rsidRDefault="00AB4B3E" w:rsidP="00170B14">
      <w:r w:rsidRPr="004269FC">
        <w:t>Biofeedback may be considered as an initial treatment for patients with fecal incontinence and some preserved voluntary sphincter contraction when there is no response to simple dietary modification, medications, and other supportive measures.  In their most recent guidelines on the treatment of fecal incontinence, the American Society of Colon and Rectal Surgeons assign</w:t>
      </w:r>
      <w:r w:rsidR="003A46A9" w:rsidRPr="004269FC">
        <w:t xml:space="preserve"> a</w:t>
      </w:r>
      <w:r w:rsidRPr="004269FC">
        <w:t xml:space="preserve"> strong recommendations in favor of biofeedback.</w:t>
      </w:r>
      <w:r w:rsidR="0062421C" w:rsidRPr="004269FC">
        <w:rPr>
          <w:vertAlign w:val="superscript"/>
        </w:rPr>
        <w:t>4</w:t>
      </w:r>
    </w:p>
    <w:p w14:paraId="45A5F90C" w14:textId="77777777" w:rsidR="00AB4B3E" w:rsidRPr="004269FC" w:rsidRDefault="00AB4B3E" w:rsidP="00170B14"/>
    <w:p w14:paraId="0B501C07" w14:textId="77777777" w:rsidR="00554FB9" w:rsidRPr="004269FC" w:rsidRDefault="00554FB9" w:rsidP="00170B14">
      <w:pPr>
        <w:rPr>
          <w:i/>
        </w:rPr>
      </w:pPr>
      <w:r w:rsidRPr="004269FC">
        <w:rPr>
          <w:i/>
        </w:rPr>
        <w:t>American Academy of Neurology</w:t>
      </w:r>
    </w:p>
    <w:p w14:paraId="1B4FE3C7" w14:textId="77777777" w:rsidR="00B2592D" w:rsidRPr="004269FC" w:rsidRDefault="00554FB9" w:rsidP="00170B14">
      <w:pPr>
        <w:rPr>
          <w:vertAlign w:val="superscript"/>
        </w:rPr>
      </w:pPr>
      <w:r w:rsidRPr="004269FC">
        <w:t xml:space="preserve">The American Academy of Neurology recommends relaxation training, thermal biofeedback combined with relaxation training, </w:t>
      </w:r>
      <w:r w:rsidR="0062421C" w:rsidRPr="004269FC">
        <w:t>EMG</w:t>
      </w:r>
      <w:r w:rsidRPr="004269FC">
        <w:t xml:space="preserve"> biofeedback, and cognitive-behavioral therapy as treatment options for prevention of migraine (Grade A). Specific recommendations regarding which of these to use for specific patients cannot be made.</w:t>
      </w:r>
      <w:r w:rsidR="0062421C" w:rsidRPr="004269FC">
        <w:rPr>
          <w:vertAlign w:val="superscript"/>
        </w:rPr>
        <w:t>5</w:t>
      </w:r>
    </w:p>
    <w:p w14:paraId="62E21BB6" w14:textId="77777777" w:rsidR="00B2592D" w:rsidRPr="004269FC" w:rsidRDefault="00B2592D" w:rsidP="00170B14"/>
    <w:p w14:paraId="174E0DD4" w14:textId="77777777" w:rsidR="0013480A" w:rsidRPr="004269FC" w:rsidRDefault="0013480A" w:rsidP="00170B14">
      <w:pPr>
        <w:rPr>
          <w:b/>
        </w:rPr>
      </w:pPr>
      <w:bookmarkStart w:id="1" w:name="Coding_Implications"/>
      <w:r w:rsidRPr="004269FC">
        <w:rPr>
          <w:b/>
        </w:rPr>
        <w:t>Coding Implications</w:t>
      </w:r>
    </w:p>
    <w:bookmarkEnd w:id="1"/>
    <w:p w14:paraId="28754965" w14:textId="72F8B6F6" w:rsidR="0013480A" w:rsidRPr="004269FC" w:rsidRDefault="0013480A" w:rsidP="00AF5490">
      <w:r w:rsidRPr="004269FC">
        <w:t>This clinical policy references Current Procedural Terminology (CPT</w:t>
      </w:r>
      <w:r w:rsidRPr="004269FC">
        <w:rPr>
          <w:vertAlign w:val="superscript"/>
        </w:rPr>
        <w:t>®</w:t>
      </w:r>
      <w:r w:rsidRPr="004269FC">
        <w:t>). CPT</w:t>
      </w:r>
      <w:r w:rsidRPr="004269FC">
        <w:rPr>
          <w:vertAlign w:val="superscript"/>
        </w:rPr>
        <w:t>®</w:t>
      </w:r>
      <w:r w:rsidRPr="004269FC">
        <w:t xml:space="preserve"> is a registered trademark of the American Medical Association. All CPT codes and descriptions are copyrighted 201</w:t>
      </w:r>
      <w:r w:rsidR="0040226C">
        <w:t>9</w:t>
      </w:r>
      <w:r w:rsidRPr="004269FC">
        <w:t>, American Medical Association. All rights reserved. CPT codes and CPT descriptions are from the current manuals and those included herein are not intended to be all-inclusive and are included for informational purposes only.  Codes referenced in this clinical policy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68D7731" w14:textId="77777777" w:rsidR="0013480A" w:rsidRPr="004269FC" w:rsidRDefault="0013480A" w:rsidP="00AF54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9"/>
        <w:gridCol w:w="8241"/>
      </w:tblGrid>
      <w:tr w:rsidR="0013480A" w:rsidRPr="004269FC" w14:paraId="5017C759" w14:textId="77777777" w:rsidTr="00F30CBB">
        <w:trPr>
          <w:tblHeader/>
        </w:trPr>
        <w:tc>
          <w:tcPr>
            <w:tcW w:w="1109" w:type="dxa"/>
            <w:shd w:val="clear" w:color="auto" w:fill="00548C"/>
          </w:tcPr>
          <w:p w14:paraId="6C2261EC" w14:textId="77777777" w:rsidR="0013480A" w:rsidRPr="004269FC" w:rsidRDefault="0013480A" w:rsidP="00C10DF0">
            <w:pPr>
              <w:rPr>
                <w:b/>
                <w:bCs/>
                <w:color w:val="FFFFFF"/>
              </w:rPr>
            </w:pPr>
            <w:r w:rsidRPr="004269FC">
              <w:rPr>
                <w:b/>
                <w:color w:val="FFFFFF"/>
              </w:rPr>
              <w:t>CPT</w:t>
            </w:r>
            <w:r w:rsidRPr="004269FC">
              <w:rPr>
                <w:b/>
                <w:color w:val="FFFFFF"/>
                <w:vertAlign w:val="superscript"/>
              </w:rPr>
              <w:t>®</w:t>
            </w:r>
            <w:r w:rsidRPr="004269FC">
              <w:rPr>
                <w:b/>
                <w:color w:val="FFFFFF"/>
              </w:rPr>
              <w:t xml:space="preserve"> Codes </w:t>
            </w:r>
          </w:p>
        </w:tc>
        <w:tc>
          <w:tcPr>
            <w:tcW w:w="8246" w:type="dxa"/>
            <w:shd w:val="clear" w:color="auto" w:fill="00548C"/>
          </w:tcPr>
          <w:p w14:paraId="7E1393BD" w14:textId="77777777" w:rsidR="0013480A" w:rsidRPr="004269FC" w:rsidRDefault="0013480A" w:rsidP="00C10DF0">
            <w:pPr>
              <w:rPr>
                <w:b/>
                <w:bCs/>
                <w:color w:val="FFFFFF"/>
              </w:rPr>
            </w:pPr>
            <w:r w:rsidRPr="004269FC">
              <w:rPr>
                <w:b/>
                <w:color w:val="FFFFFF"/>
              </w:rPr>
              <w:t>Description</w:t>
            </w:r>
          </w:p>
        </w:tc>
      </w:tr>
      <w:tr w:rsidR="0013480A" w:rsidRPr="004269FC" w14:paraId="3CEE534E" w14:textId="77777777" w:rsidTr="00F30CBB">
        <w:tc>
          <w:tcPr>
            <w:tcW w:w="1109" w:type="dxa"/>
          </w:tcPr>
          <w:p w14:paraId="3B478DC1" w14:textId="77777777" w:rsidR="0013480A" w:rsidRPr="004269FC" w:rsidRDefault="00103084" w:rsidP="00C10DF0">
            <w:pPr>
              <w:rPr>
                <w:bCs/>
              </w:rPr>
            </w:pPr>
            <w:r w:rsidRPr="004269FC">
              <w:rPr>
                <w:bCs/>
              </w:rPr>
              <w:t>90901</w:t>
            </w:r>
          </w:p>
        </w:tc>
        <w:tc>
          <w:tcPr>
            <w:tcW w:w="8246" w:type="dxa"/>
          </w:tcPr>
          <w:p w14:paraId="4315F895" w14:textId="77777777" w:rsidR="0013480A" w:rsidRPr="004269FC" w:rsidRDefault="00933F9A" w:rsidP="00C10DF0">
            <w:pPr>
              <w:rPr>
                <w:bCs/>
              </w:rPr>
            </w:pPr>
            <w:r w:rsidRPr="004269FC">
              <w:rPr>
                <w:bCs/>
              </w:rPr>
              <w:t>Biofeedback training by any modality</w:t>
            </w:r>
          </w:p>
        </w:tc>
      </w:tr>
      <w:tr w:rsidR="00103084" w:rsidRPr="004269FC" w14:paraId="43F61D89" w14:textId="77777777" w:rsidTr="00F30CBB">
        <w:tc>
          <w:tcPr>
            <w:tcW w:w="1109" w:type="dxa"/>
          </w:tcPr>
          <w:p w14:paraId="1DFEB5BF" w14:textId="77777777" w:rsidR="00103084" w:rsidRPr="004269FC" w:rsidRDefault="00103084" w:rsidP="00C10DF0">
            <w:pPr>
              <w:rPr>
                <w:bCs/>
              </w:rPr>
            </w:pPr>
            <w:r w:rsidRPr="004269FC">
              <w:rPr>
                <w:bCs/>
              </w:rPr>
              <w:t>90911</w:t>
            </w:r>
          </w:p>
        </w:tc>
        <w:tc>
          <w:tcPr>
            <w:tcW w:w="8246" w:type="dxa"/>
          </w:tcPr>
          <w:p w14:paraId="4F8F3521" w14:textId="77777777" w:rsidR="00103084" w:rsidRPr="004269FC" w:rsidRDefault="00933F9A" w:rsidP="00C10DF0">
            <w:pPr>
              <w:rPr>
                <w:bCs/>
              </w:rPr>
            </w:pPr>
            <w:r w:rsidRPr="004269FC">
              <w:rPr>
                <w:bCs/>
              </w:rPr>
              <w:t>Biofeedback training, perineal muscles, anorectal or urethral sphincter, including EMG and/or manometry</w:t>
            </w:r>
          </w:p>
        </w:tc>
      </w:tr>
    </w:tbl>
    <w:p w14:paraId="53D7F5D9" w14:textId="77777777" w:rsidR="0013480A" w:rsidRPr="004269FC" w:rsidRDefault="0013480A" w:rsidP="00AF54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3"/>
        <w:gridCol w:w="8227"/>
      </w:tblGrid>
      <w:tr w:rsidR="0013480A" w:rsidRPr="004269FC" w14:paraId="45F9AF10" w14:textId="77777777" w:rsidTr="00F30CBB">
        <w:trPr>
          <w:tblHeader/>
        </w:trPr>
        <w:tc>
          <w:tcPr>
            <w:tcW w:w="1127" w:type="dxa"/>
            <w:shd w:val="clear" w:color="auto" w:fill="00548C"/>
          </w:tcPr>
          <w:p w14:paraId="1EFF60F2" w14:textId="77777777" w:rsidR="0013480A" w:rsidRPr="004269FC" w:rsidRDefault="0013480A" w:rsidP="00556CBA">
            <w:pPr>
              <w:rPr>
                <w:b/>
                <w:bCs/>
                <w:color w:val="FFFFFF"/>
              </w:rPr>
            </w:pPr>
            <w:r w:rsidRPr="004269FC">
              <w:rPr>
                <w:b/>
                <w:color w:val="FFFFFF"/>
              </w:rPr>
              <w:t xml:space="preserve">HCPCS Codes </w:t>
            </w:r>
          </w:p>
        </w:tc>
        <w:tc>
          <w:tcPr>
            <w:tcW w:w="8498" w:type="dxa"/>
            <w:shd w:val="clear" w:color="auto" w:fill="00548C"/>
          </w:tcPr>
          <w:p w14:paraId="4636F8F5" w14:textId="77777777" w:rsidR="0013480A" w:rsidRPr="004269FC" w:rsidRDefault="0013480A" w:rsidP="00556CBA">
            <w:pPr>
              <w:rPr>
                <w:b/>
                <w:bCs/>
                <w:color w:val="FFFFFF"/>
              </w:rPr>
            </w:pPr>
            <w:r w:rsidRPr="004269FC">
              <w:rPr>
                <w:b/>
                <w:color w:val="FFFFFF"/>
              </w:rPr>
              <w:t>Description</w:t>
            </w:r>
          </w:p>
        </w:tc>
      </w:tr>
      <w:tr w:rsidR="0013480A" w:rsidRPr="004269FC" w14:paraId="1BBC48A7" w14:textId="77777777" w:rsidTr="00F30CBB">
        <w:tc>
          <w:tcPr>
            <w:tcW w:w="1127" w:type="dxa"/>
          </w:tcPr>
          <w:p w14:paraId="16BDCD69" w14:textId="77777777" w:rsidR="0013480A" w:rsidRPr="004269FC" w:rsidRDefault="00933F9A" w:rsidP="00556CBA">
            <w:pPr>
              <w:rPr>
                <w:bCs/>
              </w:rPr>
            </w:pPr>
            <w:r w:rsidRPr="004269FC">
              <w:rPr>
                <w:bCs/>
              </w:rPr>
              <w:t>N/A</w:t>
            </w:r>
          </w:p>
        </w:tc>
        <w:tc>
          <w:tcPr>
            <w:tcW w:w="8498" w:type="dxa"/>
          </w:tcPr>
          <w:p w14:paraId="0A7DEB65" w14:textId="77777777" w:rsidR="0013480A" w:rsidRPr="004269FC" w:rsidRDefault="0013480A" w:rsidP="00556CBA">
            <w:pPr>
              <w:rPr>
                <w:bCs/>
              </w:rPr>
            </w:pPr>
          </w:p>
        </w:tc>
      </w:tr>
    </w:tbl>
    <w:p w14:paraId="213BE2AC" w14:textId="77777777" w:rsidR="0013480A" w:rsidRPr="004269FC" w:rsidRDefault="0013480A" w:rsidP="00AF5490"/>
    <w:p w14:paraId="11739636" w14:textId="77777777" w:rsidR="0013480A" w:rsidRPr="004269FC" w:rsidRDefault="0013480A" w:rsidP="00AF5490">
      <w:pPr>
        <w:rPr>
          <w:b/>
        </w:rPr>
      </w:pPr>
      <w:r w:rsidRPr="004269FC">
        <w:rPr>
          <w:b/>
        </w:rPr>
        <w:t>ICD-10-CM Diagnosis Codes that Support Coverage Criteria</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335"/>
        <w:gridCol w:w="7290"/>
      </w:tblGrid>
      <w:tr w:rsidR="0013480A" w:rsidRPr="004269FC" w14:paraId="57BAB57D" w14:textId="77777777" w:rsidTr="00F30CBB">
        <w:trPr>
          <w:tblHeader/>
        </w:trPr>
        <w:tc>
          <w:tcPr>
            <w:tcW w:w="2335" w:type="dxa"/>
            <w:shd w:val="clear" w:color="auto" w:fill="00548C"/>
          </w:tcPr>
          <w:p w14:paraId="1A565229" w14:textId="77777777" w:rsidR="0013480A" w:rsidRPr="004269FC" w:rsidRDefault="0013480A" w:rsidP="00350F22">
            <w:pPr>
              <w:rPr>
                <w:b/>
                <w:bCs/>
                <w:color w:val="FFFFFF"/>
              </w:rPr>
            </w:pPr>
            <w:r w:rsidRPr="004269FC">
              <w:rPr>
                <w:b/>
                <w:color w:val="FFFFFF"/>
              </w:rPr>
              <w:t>ICD-10-CM Code</w:t>
            </w:r>
          </w:p>
        </w:tc>
        <w:tc>
          <w:tcPr>
            <w:tcW w:w="7290" w:type="dxa"/>
            <w:shd w:val="clear" w:color="auto" w:fill="00548C"/>
          </w:tcPr>
          <w:p w14:paraId="7C9ABFBD" w14:textId="77777777" w:rsidR="0013480A" w:rsidRPr="004269FC" w:rsidRDefault="0013480A" w:rsidP="00F91367">
            <w:pPr>
              <w:rPr>
                <w:b/>
                <w:bCs/>
                <w:color w:val="FFFFFF"/>
              </w:rPr>
            </w:pPr>
            <w:r w:rsidRPr="004269FC">
              <w:rPr>
                <w:b/>
                <w:color w:val="FFFFFF"/>
              </w:rPr>
              <w:t>Description</w:t>
            </w:r>
          </w:p>
        </w:tc>
      </w:tr>
      <w:tr w:rsidR="0013480A" w:rsidRPr="004269FC" w14:paraId="781DB3AE" w14:textId="77777777" w:rsidTr="00F30CBB">
        <w:tc>
          <w:tcPr>
            <w:tcW w:w="2335" w:type="dxa"/>
          </w:tcPr>
          <w:p w14:paraId="30D151C1" w14:textId="77777777" w:rsidR="0013480A" w:rsidRPr="004269FC" w:rsidRDefault="00933F9A" w:rsidP="00F91367">
            <w:pPr>
              <w:rPr>
                <w:bCs/>
              </w:rPr>
            </w:pPr>
            <w:r w:rsidRPr="004269FC">
              <w:rPr>
                <w:bCs/>
              </w:rPr>
              <w:t>G43.001</w:t>
            </w:r>
            <w:r w:rsidR="0001505B">
              <w:rPr>
                <w:bCs/>
              </w:rPr>
              <w:t xml:space="preserve"> </w:t>
            </w:r>
            <w:r w:rsidRPr="004269FC">
              <w:rPr>
                <w:bCs/>
              </w:rPr>
              <w:t>-</w:t>
            </w:r>
            <w:r w:rsidR="0001505B">
              <w:rPr>
                <w:bCs/>
              </w:rPr>
              <w:t xml:space="preserve"> </w:t>
            </w:r>
            <w:r w:rsidRPr="004269FC">
              <w:rPr>
                <w:bCs/>
              </w:rPr>
              <w:t>G43.719</w:t>
            </w:r>
          </w:p>
        </w:tc>
        <w:tc>
          <w:tcPr>
            <w:tcW w:w="7290" w:type="dxa"/>
          </w:tcPr>
          <w:p w14:paraId="693A2EAE" w14:textId="77777777" w:rsidR="0013480A" w:rsidRPr="004269FC" w:rsidRDefault="00933F9A" w:rsidP="00F91367">
            <w:pPr>
              <w:rPr>
                <w:bCs/>
              </w:rPr>
            </w:pPr>
            <w:r w:rsidRPr="004269FC">
              <w:rPr>
                <w:bCs/>
              </w:rPr>
              <w:t>Migraine headache</w:t>
            </w:r>
          </w:p>
        </w:tc>
      </w:tr>
      <w:tr w:rsidR="00933F9A" w:rsidRPr="004269FC" w14:paraId="32081FDF" w14:textId="77777777" w:rsidTr="00F30CBB">
        <w:tc>
          <w:tcPr>
            <w:tcW w:w="2335" w:type="dxa"/>
          </w:tcPr>
          <w:p w14:paraId="26831EB0" w14:textId="77777777" w:rsidR="00933F9A" w:rsidRPr="004269FC" w:rsidRDefault="00933F9A" w:rsidP="00F91367">
            <w:pPr>
              <w:rPr>
                <w:bCs/>
              </w:rPr>
            </w:pPr>
            <w:r w:rsidRPr="004269FC">
              <w:rPr>
                <w:bCs/>
              </w:rPr>
              <w:t>G44.201</w:t>
            </w:r>
            <w:r w:rsidR="0001505B">
              <w:rPr>
                <w:bCs/>
              </w:rPr>
              <w:t xml:space="preserve"> </w:t>
            </w:r>
            <w:r w:rsidRPr="004269FC">
              <w:rPr>
                <w:bCs/>
              </w:rPr>
              <w:t>-</w:t>
            </w:r>
            <w:r w:rsidR="0001505B">
              <w:rPr>
                <w:bCs/>
              </w:rPr>
              <w:t xml:space="preserve"> </w:t>
            </w:r>
            <w:r w:rsidRPr="004269FC">
              <w:rPr>
                <w:bCs/>
              </w:rPr>
              <w:t>G44.209</w:t>
            </w:r>
          </w:p>
        </w:tc>
        <w:tc>
          <w:tcPr>
            <w:tcW w:w="7290" w:type="dxa"/>
          </w:tcPr>
          <w:p w14:paraId="0F3CFED0" w14:textId="77777777" w:rsidR="00933F9A" w:rsidRPr="004269FC" w:rsidRDefault="00933F9A" w:rsidP="00F91367">
            <w:pPr>
              <w:rPr>
                <w:bCs/>
              </w:rPr>
            </w:pPr>
            <w:r w:rsidRPr="004269FC">
              <w:rPr>
                <w:bCs/>
              </w:rPr>
              <w:t>Tension-type headache</w:t>
            </w:r>
          </w:p>
        </w:tc>
      </w:tr>
      <w:tr w:rsidR="00933F9A" w:rsidRPr="004269FC" w14:paraId="48F226CE" w14:textId="77777777" w:rsidTr="00F30CBB">
        <w:tc>
          <w:tcPr>
            <w:tcW w:w="2335" w:type="dxa"/>
          </w:tcPr>
          <w:p w14:paraId="7CBB6B3A" w14:textId="77777777" w:rsidR="00933F9A" w:rsidRPr="004269FC" w:rsidRDefault="00933F9A" w:rsidP="00F91367">
            <w:pPr>
              <w:rPr>
                <w:bCs/>
              </w:rPr>
            </w:pPr>
            <w:r w:rsidRPr="004269FC">
              <w:rPr>
                <w:bCs/>
              </w:rPr>
              <w:t>K59.00</w:t>
            </w:r>
            <w:r w:rsidR="0001505B">
              <w:rPr>
                <w:bCs/>
              </w:rPr>
              <w:t xml:space="preserve"> </w:t>
            </w:r>
            <w:r w:rsidRPr="004269FC">
              <w:rPr>
                <w:bCs/>
              </w:rPr>
              <w:t>-</w:t>
            </w:r>
            <w:r w:rsidR="0001505B">
              <w:rPr>
                <w:bCs/>
              </w:rPr>
              <w:t xml:space="preserve"> </w:t>
            </w:r>
            <w:r w:rsidRPr="004269FC">
              <w:rPr>
                <w:bCs/>
              </w:rPr>
              <w:t>K59.09</w:t>
            </w:r>
          </w:p>
        </w:tc>
        <w:tc>
          <w:tcPr>
            <w:tcW w:w="7290" w:type="dxa"/>
          </w:tcPr>
          <w:p w14:paraId="3D0D7945" w14:textId="77777777" w:rsidR="00933F9A" w:rsidRPr="004269FC" w:rsidRDefault="00933F9A" w:rsidP="00F91367">
            <w:pPr>
              <w:rPr>
                <w:bCs/>
              </w:rPr>
            </w:pPr>
            <w:r w:rsidRPr="004269FC">
              <w:rPr>
                <w:bCs/>
              </w:rPr>
              <w:t>Constipation</w:t>
            </w:r>
          </w:p>
        </w:tc>
      </w:tr>
      <w:tr w:rsidR="00933F9A" w:rsidRPr="004269FC" w14:paraId="3650FB91" w14:textId="77777777" w:rsidTr="00F30CBB">
        <w:tc>
          <w:tcPr>
            <w:tcW w:w="2335" w:type="dxa"/>
          </w:tcPr>
          <w:p w14:paraId="0CC78568" w14:textId="77777777" w:rsidR="00933F9A" w:rsidRPr="004269FC" w:rsidRDefault="00933F9A" w:rsidP="00F91367">
            <w:pPr>
              <w:rPr>
                <w:bCs/>
              </w:rPr>
            </w:pPr>
            <w:r w:rsidRPr="004269FC">
              <w:rPr>
                <w:bCs/>
              </w:rPr>
              <w:t>K59.4</w:t>
            </w:r>
            <w:r w:rsidRPr="004269FC">
              <w:rPr>
                <w:bCs/>
              </w:rPr>
              <w:tab/>
            </w:r>
            <w:r w:rsidRPr="004269FC">
              <w:rPr>
                <w:bCs/>
              </w:rPr>
              <w:tab/>
            </w:r>
          </w:p>
        </w:tc>
        <w:tc>
          <w:tcPr>
            <w:tcW w:w="7290" w:type="dxa"/>
          </w:tcPr>
          <w:p w14:paraId="5D558EB7" w14:textId="77777777" w:rsidR="00933F9A" w:rsidRPr="004269FC" w:rsidRDefault="00933F9A" w:rsidP="00F91367">
            <w:pPr>
              <w:rPr>
                <w:bCs/>
              </w:rPr>
            </w:pPr>
            <w:r w:rsidRPr="004269FC">
              <w:rPr>
                <w:bCs/>
              </w:rPr>
              <w:t>Anal spasm</w:t>
            </w:r>
          </w:p>
        </w:tc>
      </w:tr>
      <w:tr w:rsidR="00933F9A" w:rsidRPr="004269FC" w14:paraId="60C63DC1" w14:textId="77777777" w:rsidTr="00F30CBB">
        <w:trPr>
          <w:trHeight w:val="332"/>
        </w:trPr>
        <w:tc>
          <w:tcPr>
            <w:tcW w:w="2335" w:type="dxa"/>
          </w:tcPr>
          <w:p w14:paraId="5BCFB188" w14:textId="77777777" w:rsidR="00933F9A" w:rsidRPr="004269FC" w:rsidRDefault="00933F9A" w:rsidP="00F91367">
            <w:pPr>
              <w:rPr>
                <w:bCs/>
              </w:rPr>
            </w:pPr>
            <w:r w:rsidRPr="004269FC">
              <w:rPr>
                <w:bCs/>
              </w:rPr>
              <w:t>M62.40</w:t>
            </w:r>
            <w:r w:rsidR="0001505B">
              <w:rPr>
                <w:bCs/>
              </w:rPr>
              <w:t xml:space="preserve"> </w:t>
            </w:r>
            <w:r w:rsidRPr="004269FC">
              <w:rPr>
                <w:bCs/>
              </w:rPr>
              <w:t>-</w:t>
            </w:r>
            <w:r w:rsidR="0001505B">
              <w:rPr>
                <w:bCs/>
              </w:rPr>
              <w:t xml:space="preserve"> </w:t>
            </w:r>
            <w:r w:rsidRPr="004269FC">
              <w:rPr>
                <w:bCs/>
              </w:rPr>
              <w:t>M62.49</w:t>
            </w:r>
          </w:p>
        </w:tc>
        <w:tc>
          <w:tcPr>
            <w:tcW w:w="7290" w:type="dxa"/>
          </w:tcPr>
          <w:p w14:paraId="49DA8FAA" w14:textId="77777777" w:rsidR="00933F9A" w:rsidRPr="004269FC" w:rsidRDefault="00933F9A" w:rsidP="00F91367">
            <w:pPr>
              <w:rPr>
                <w:bCs/>
              </w:rPr>
            </w:pPr>
            <w:r w:rsidRPr="004269FC">
              <w:rPr>
                <w:bCs/>
              </w:rPr>
              <w:t>Contracture of muscle</w:t>
            </w:r>
          </w:p>
        </w:tc>
      </w:tr>
      <w:tr w:rsidR="00933F9A" w:rsidRPr="004269FC" w14:paraId="78222CA9" w14:textId="77777777" w:rsidTr="00F30CBB">
        <w:tc>
          <w:tcPr>
            <w:tcW w:w="2335" w:type="dxa"/>
          </w:tcPr>
          <w:p w14:paraId="303BFC84" w14:textId="77777777" w:rsidR="00933F9A" w:rsidRPr="004269FC" w:rsidRDefault="00933F9A" w:rsidP="00F91367">
            <w:pPr>
              <w:rPr>
                <w:bCs/>
              </w:rPr>
            </w:pPr>
            <w:r w:rsidRPr="004269FC">
              <w:rPr>
                <w:bCs/>
              </w:rPr>
              <w:t>M62.50</w:t>
            </w:r>
            <w:r w:rsidR="0001505B">
              <w:rPr>
                <w:bCs/>
              </w:rPr>
              <w:t xml:space="preserve"> </w:t>
            </w:r>
            <w:r w:rsidRPr="004269FC">
              <w:rPr>
                <w:bCs/>
              </w:rPr>
              <w:t>-</w:t>
            </w:r>
            <w:r w:rsidR="0001505B">
              <w:rPr>
                <w:bCs/>
              </w:rPr>
              <w:t xml:space="preserve"> </w:t>
            </w:r>
            <w:r w:rsidRPr="004269FC">
              <w:rPr>
                <w:bCs/>
              </w:rPr>
              <w:t>M62.59</w:t>
            </w:r>
          </w:p>
        </w:tc>
        <w:tc>
          <w:tcPr>
            <w:tcW w:w="7290" w:type="dxa"/>
          </w:tcPr>
          <w:p w14:paraId="085320E9" w14:textId="77777777" w:rsidR="00933F9A" w:rsidRPr="004269FC" w:rsidRDefault="00933F9A" w:rsidP="00F91367">
            <w:pPr>
              <w:rPr>
                <w:bCs/>
              </w:rPr>
            </w:pPr>
            <w:r w:rsidRPr="004269FC">
              <w:rPr>
                <w:bCs/>
              </w:rPr>
              <w:t>Muscle wasting and atrophy, not elsewhere classified</w:t>
            </w:r>
          </w:p>
        </w:tc>
      </w:tr>
      <w:tr w:rsidR="00933F9A" w:rsidRPr="004269FC" w14:paraId="167B8AD6" w14:textId="77777777" w:rsidTr="00F30CBB">
        <w:tc>
          <w:tcPr>
            <w:tcW w:w="2335" w:type="dxa"/>
          </w:tcPr>
          <w:p w14:paraId="52183B11" w14:textId="77777777" w:rsidR="00933F9A" w:rsidRPr="004269FC" w:rsidRDefault="00933F9A" w:rsidP="00F91367">
            <w:pPr>
              <w:rPr>
                <w:bCs/>
              </w:rPr>
            </w:pPr>
            <w:r w:rsidRPr="004269FC">
              <w:rPr>
                <w:bCs/>
              </w:rPr>
              <w:t>N39.3</w:t>
            </w:r>
            <w:r w:rsidR="0001505B">
              <w:rPr>
                <w:bCs/>
              </w:rPr>
              <w:t xml:space="preserve"> </w:t>
            </w:r>
            <w:r w:rsidRPr="004269FC">
              <w:rPr>
                <w:bCs/>
              </w:rPr>
              <w:t>-</w:t>
            </w:r>
            <w:r w:rsidR="0001505B">
              <w:rPr>
                <w:bCs/>
              </w:rPr>
              <w:t xml:space="preserve"> </w:t>
            </w:r>
            <w:r w:rsidRPr="004269FC">
              <w:rPr>
                <w:bCs/>
              </w:rPr>
              <w:t>N39.498</w:t>
            </w:r>
          </w:p>
        </w:tc>
        <w:tc>
          <w:tcPr>
            <w:tcW w:w="7290" w:type="dxa"/>
          </w:tcPr>
          <w:p w14:paraId="069ED5C5" w14:textId="77777777" w:rsidR="00933F9A" w:rsidRPr="004269FC" w:rsidRDefault="00933F9A" w:rsidP="00F91367">
            <w:pPr>
              <w:rPr>
                <w:bCs/>
              </w:rPr>
            </w:pPr>
            <w:r w:rsidRPr="004269FC">
              <w:rPr>
                <w:bCs/>
              </w:rPr>
              <w:t>Stress incontinence</w:t>
            </w:r>
          </w:p>
        </w:tc>
      </w:tr>
      <w:tr w:rsidR="00933F9A" w:rsidRPr="004269FC" w14:paraId="347D3CA8" w14:textId="77777777" w:rsidTr="00F30CBB">
        <w:tc>
          <w:tcPr>
            <w:tcW w:w="2335" w:type="dxa"/>
          </w:tcPr>
          <w:p w14:paraId="1C89E3EC" w14:textId="77777777" w:rsidR="00933F9A" w:rsidRPr="004269FC" w:rsidRDefault="00933F9A" w:rsidP="00F91367">
            <w:pPr>
              <w:rPr>
                <w:bCs/>
              </w:rPr>
            </w:pPr>
            <w:r w:rsidRPr="004269FC">
              <w:rPr>
                <w:bCs/>
              </w:rPr>
              <w:t>R15.0</w:t>
            </w:r>
            <w:r w:rsidR="0001505B">
              <w:rPr>
                <w:bCs/>
              </w:rPr>
              <w:t xml:space="preserve"> </w:t>
            </w:r>
            <w:r w:rsidRPr="004269FC">
              <w:rPr>
                <w:bCs/>
              </w:rPr>
              <w:t>-</w:t>
            </w:r>
            <w:r w:rsidR="0001505B">
              <w:rPr>
                <w:bCs/>
              </w:rPr>
              <w:t xml:space="preserve"> </w:t>
            </w:r>
            <w:r w:rsidRPr="004269FC">
              <w:rPr>
                <w:bCs/>
              </w:rPr>
              <w:t>R15.9</w:t>
            </w:r>
          </w:p>
        </w:tc>
        <w:tc>
          <w:tcPr>
            <w:tcW w:w="7290" w:type="dxa"/>
          </w:tcPr>
          <w:p w14:paraId="70F9A6B4" w14:textId="77777777" w:rsidR="00933F9A" w:rsidRPr="004269FC" w:rsidRDefault="00933F9A" w:rsidP="00F91367">
            <w:pPr>
              <w:rPr>
                <w:bCs/>
              </w:rPr>
            </w:pPr>
            <w:r w:rsidRPr="004269FC">
              <w:rPr>
                <w:bCs/>
              </w:rPr>
              <w:t>Fecal incontinence</w:t>
            </w:r>
          </w:p>
        </w:tc>
      </w:tr>
    </w:tbl>
    <w:p w14:paraId="438CB6D9" w14:textId="77777777" w:rsidR="0013480A" w:rsidRPr="004269FC" w:rsidRDefault="0013480A"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13480A" w:rsidRPr="004269FC" w14:paraId="73898BE6" w14:textId="77777777" w:rsidTr="00B26BB1">
        <w:trPr>
          <w:tblHeader/>
        </w:trPr>
        <w:tc>
          <w:tcPr>
            <w:tcW w:w="7578" w:type="dxa"/>
            <w:tcBorders>
              <w:top w:val="single" w:sz="8" w:space="0" w:color="4F81BD"/>
            </w:tcBorders>
            <w:shd w:val="clear" w:color="auto" w:fill="00548C"/>
          </w:tcPr>
          <w:p w14:paraId="084F770E" w14:textId="77777777" w:rsidR="0013480A" w:rsidRPr="004269FC" w:rsidRDefault="0013480A" w:rsidP="00B777AF">
            <w:pPr>
              <w:rPr>
                <w:b/>
                <w:bCs/>
                <w:color w:val="FFFFFF"/>
              </w:rPr>
            </w:pPr>
            <w:bookmarkStart w:id="2" w:name="Revision_Log"/>
            <w:r w:rsidRPr="004269FC">
              <w:rPr>
                <w:b/>
                <w:color w:val="FFFFFF"/>
              </w:rPr>
              <w:t>Reviews, Revisions, and Approvals</w:t>
            </w:r>
            <w:bookmarkEnd w:id="2"/>
          </w:p>
        </w:tc>
        <w:tc>
          <w:tcPr>
            <w:tcW w:w="810" w:type="dxa"/>
            <w:shd w:val="clear" w:color="auto" w:fill="00548C"/>
          </w:tcPr>
          <w:p w14:paraId="6B970DDA" w14:textId="77777777" w:rsidR="0013480A" w:rsidRPr="004269FC" w:rsidRDefault="0013480A" w:rsidP="00B26BB1">
            <w:pPr>
              <w:jc w:val="center"/>
              <w:rPr>
                <w:b/>
                <w:bCs/>
                <w:color w:val="FFFFFF"/>
              </w:rPr>
            </w:pPr>
            <w:r w:rsidRPr="004269FC">
              <w:rPr>
                <w:b/>
                <w:color w:val="FFFFFF"/>
              </w:rPr>
              <w:t>Date</w:t>
            </w:r>
          </w:p>
        </w:tc>
        <w:tc>
          <w:tcPr>
            <w:tcW w:w="1260" w:type="dxa"/>
            <w:tcBorders>
              <w:top w:val="single" w:sz="8" w:space="0" w:color="4F81BD"/>
            </w:tcBorders>
            <w:shd w:val="clear" w:color="auto" w:fill="00548C"/>
          </w:tcPr>
          <w:p w14:paraId="1CFB6620" w14:textId="77777777" w:rsidR="0013480A" w:rsidRPr="004269FC" w:rsidRDefault="0013480A" w:rsidP="00B26BB1">
            <w:pPr>
              <w:jc w:val="center"/>
              <w:rPr>
                <w:b/>
                <w:bCs/>
                <w:color w:val="FFFFFF"/>
              </w:rPr>
            </w:pPr>
            <w:r w:rsidRPr="004269FC">
              <w:rPr>
                <w:b/>
                <w:color w:val="FFFFFF"/>
              </w:rPr>
              <w:t>Approval Date</w:t>
            </w:r>
          </w:p>
        </w:tc>
      </w:tr>
      <w:tr w:rsidR="0013480A" w:rsidRPr="004269FC" w14:paraId="5E2834BF" w14:textId="77777777" w:rsidTr="00B26BB1">
        <w:tc>
          <w:tcPr>
            <w:tcW w:w="7578" w:type="dxa"/>
          </w:tcPr>
          <w:p w14:paraId="7EC8F22F" w14:textId="77777777" w:rsidR="0013480A" w:rsidRPr="004269FC" w:rsidRDefault="00103084" w:rsidP="00103084">
            <w:pPr>
              <w:tabs>
                <w:tab w:val="num" w:pos="720"/>
              </w:tabs>
            </w:pPr>
            <w:r w:rsidRPr="004269FC">
              <w:t>Policy adopted from Health Net NMP168 Biofeedback</w:t>
            </w:r>
          </w:p>
        </w:tc>
        <w:tc>
          <w:tcPr>
            <w:tcW w:w="810" w:type="dxa"/>
          </w:tcPr>
          <w:p w14:paraId="7DFFEA2F" w14:textId="77777777" w:rsidR="0013480A" w:rsidRPr="004269FC" w:rsidRDefault="00103084" w:rsidP="00B26BB1">
            <w:pPr>
              <w:jc w:val="center"/>
            </w:pPr>
            <w:r w:rsidRPr="004269FC">
              <w:t>06/17</w:t>
            </w:r>
          </w:p>
        </w:tc>
        <w:tc>
          <w:tcPr>
            <w:tcW w:w="1260" w:type="dxa"/>
          </w:tcPr>
          <w:p w14:paraId="5DC809AE" w14:textId="77777777" w:rsidR="0013480A" w:rsidRPr="004269FC" w:rsidRDefault="0099701F" w:rsidP="00B26BB1">
            <w:pPr>
              <w:jc w:val="center"/>
            </w:pPr>
            <w:r>
              <w:t>07/17</w:t>
            </w:r>
          </w:p>
        </w:tc>
      </w:tr>
      <w:tr w:rsidR="00E3767B" w:rsidRPr="004269FC" w14:paraId="1A06AF99" w14:textId="77777777" w:rsidTr="00B26BB1">
        <w:tc>
          <w:tcPr>
            <w:tcW w:w="7578" w:type="dxa"/>
          </w:tcPr>
          <w:p w14:paraId="477C69BD" w14:textId="77777777" w:rsidR="00E3767B" w:rsidRPr="004269FC" w:rsidRDefault="00E96408" w:rsidP="00103084">
            <w:pPr>
              <w:tabs>
                <w:tab w:val="num" w:pos="720"/>
              </w:tabs>
            </w:pPr>
            <w:r>
              <w:t xml:space="preserve">References reviewed and updated. </w:t>
            </w:r>
          </w:p>
        </w:tc>
        <w:tc>
          <w:tcPr>
            <w:tcW w:w="810" w:type="dxa"/>
          </w:tcPr>
          <w:p w14:paraId="0AF15626" w14:textId="77777777" w:rsidR="00E3767B" w:rsidRPr="004269FC" w:rsidRDefault="00E96408" w:rsidP="00B26BB1">
            <w:pPr>
              <w:jc w:val="center"/>
            </w:pPr>
            <w:r>
              <w:t>05/18</w:t>
            </w:r>
          </w:p>
        </w:tc>
        <w:tc>
          <w:tcPr>
            <w:tcW w:w="1260" w:type="dxa"/>
          </w:tcPr>
          <w:p w14:paraId="6782A527" w14:textId="77777777" w:rsidR="00E3767B" w:rsidRDefault="000E136E" w:rsidP="00B26BB1">
            <w:pPr>
              <w:jc w:val="center"/>
            </w:pPr>
            <w:r>
              <w:t>05/18</w:t>
            </w:r>
          </w:p>
        </w:tc>
      </w:tr>
      <w:tr w:rsidR="0073111A" w:rsidRPr="004269FC" w14:paraId="76228752" w14:textId="77777777" w:rsidTr="00B26BB1">
        <w:tc>
          <w:tcPr>
            <w:tcW w:w="7578" w:type="dxa"/>
          </w:tcPr>
          <w:p w14:paraId="0D8B3FAD" w14:textId="77777777" w:rsidR="0073111A" w:rsidRDefault="0073111A" w:rsidP="00103084">
            <w:pPr>
              <w:tabs>
                <w:tab w:val="num" w:pos="720"/>
              </w:tabs>
            </w:pPr>
            <w:r>
              <w:t>Removed information note that improvement of fecal/urinary incontinence should be noted in 4 sessions.</w:t>
            </w:r>
          </w:p>
        </w:tc>
        <w:tc>
          <w:tcPr>
            <w:tcW w:w="810" w:type="dxa"/>
          </w:tcPr>
          <w:p w14:paraId="32168114" w14:textId="77777777" w:rsidR="0073111A" w:rsidRDefault="0073111A" w:rsidP="00B26BB1">
            <w:pPr>
              <w:jc w:val="center"/>
            </w:pPr>
            <w:r>
              <w:t>09/18</w:t>
            </w:r>
          </w:p>
        </w:tc>
        <w:tc>
          <w:tcPr>
            <w:tcW w:w="1260" w:type="dxa"/>
          </w:tcPr>
          <w:p w14:paraId="24629CB5" w14:textId="77777777" w:rsidR="0073111A" w:rsidRDefault="0073111A" w:rsidP="00B26BB1">
            <w:pPr>
              <w:jc w:val="center"/>
            </w:pPr>
          </w:p>
        </w:tc>
      </w:tr>
      <w:tr w:rsidR="00CD2755" w:rsidRPr="004269FC" w14:paraId="28F69A80" w14:textId="77777777" w:rsidTr="00B26BB1">
        <w:tc>
          <w:tcPr>
            <w:tcW w:w="7578" w:type="dxa"/>
          </w:tcPr>
          <w:p w14:paraId="25AE3E24" w14:textId="5646C563" w:rsidR="00CD2755" w:rsidRDefault="00CD2755" w:rsidP="00F30CBB">
            <w:pPr>
              <w:tabs>
                <w:tab w:val="num" w:pos="720"/>
              </w:tabs>
            </w:pPr>
            <w:r>
              <w:t>Removed criteria point under I.A stating including being responsive to care plan requirements and the condition can be appropriately treated with biofeedback.</w:t>
            </w:r>
            <w:r w:rsidR="00F30CBB">
              <w:t xml:space="preserve"> Added child specific bullet point under I.A.1.</w:t>
            </w:r>
            <w:r>
              <w:t xml:space="preserve"> Codes reviewed.</w:t>
            </w:r>
          </w:p>
        </w:tc>
        <w:tc>
          <w:tcPr>
            <w:tcW w:w="810" w:type="dxa"/>
          </w:tcPr>
          <w:p w14:paraId="2892AD8B" w14:textId="77777777" w:rsidR="00CD2755" w:rsidRDefault="00CD2755" w:rsidP="00CD2755">
            <w:pPr>
              <w:jc w:val="center"/>
            </w:pPr>
            <w:r>
              <w:t>04/19</w:t>
            </w:r>
          </w:p>
        </w:tc>
        <w:tc>
          <w:tcPr>
            <w:tcW w:w="1260" w:type="dxa"/>
          </w:tcPr>
          <w:p w14:paraId="1E186565" w14:textId="2C75F9FF" w:rsidR="00CD2755" w:rsidRDefault="00177295" w:rsidP="00CD2755">
            <w:pPr>
              <w:jc w:val="center"/>
            </w:pPr>
            <w:r>
              <w:t>05/19</w:t>
            </w:r>
          </w:p>
        </w:tc>
      </w:tr>
    </w:tbl>
    <w:p w14:paraId="1791ECEE" w14:textId="77777777" w:rsidR="001362D0" w:rsidRDefault="001362D0" w:rsidP="00963062">
      <w:pPr>
        <w:pStyle w:val="Heading3"/>
        <w:sectPr w:rsidR="001362D0" w:rsidSect="00480C09">
          <w:type w:val="continuous"/>
          <w:pgSz w:w="12240" w:h="15840" w:code="1"/>
          <w:pgMar w:top="1440" w:right="1440" w:bottom="1440" w:left="1440" w:header="576" w:footer="288" w:gutter="0"/>
          <w:cols w:space="720"/>
          <w:titlePg/>
          <w:docGrid w:linePitch="360"/>
        </w:sectPr>
      </w:pPr>
    </w:p>
    <w:p w14:paraId="543B246D" w14:textId="77777777" w:rsidR="0013480A" w:rsidRPr="004269FC" w:rsidRDefault="0013480A" w:rsidP="00963062">
      <w:pPr>
        <w:pStyle w:val="Heading3"/>
      </w:pPr>
      <w:r w:rsidRPr="004269FC">
        <w:t>References</w:t>
      </w:r>
    </w:p>
    <w:p w14:paraId="7BF14BC0" w14:textId="6B0E8D98" w:rsidR="00431032" w:rsidRPr="00A2007C" w:rsidRDefault="00431032" w:rsidP="00985601">
      <w:pPr>
        <w:pStyle w:val="ListParagraph"/>
        <w:numPr>
          <w:ilvl w:val="0"/>
          <w:numId w:val="21"/>
        </w:numPr>
        <w:ind w:left="360"/>
      </w:pPr>
      <w:r w:rsidRPr="00A2007C">
        <w:t>Herderschee R, Hay-Smith EJ, Herbison GP, et al. Feedback or biofeedback to augment pelvic floor muscle training for urinary incontinence in women. Cochrane Database Syst Rev 2011;</w:t>
      </w:r>
      <w:r w:rsidR="00F30CBB">
        <w:t xml:space="preserve"> </w:t>
      </w:r>
      <w:r w:rsidRPr="00A2007C">
        <w:t>CD009252</w:t>
      </w:r>
      <w:r w:rsidR="00303FCC" w:rsidRPr="00303FCC">
        <w:t>.</w:t>
      </w:r>
      <w:r w:rsidR="00A2007C" w:rsidRPr="00F30CBB">
        <w:t xml:space="preserve">  </w:t>
      </w:r>
    </w:p>
    <w:p w14:paraId="72F40300" w14:textId="77777777" w:rsidR="008203E5" w:rsidRPr="004269FC" w:rsidRDefault="008203E5" w:rsidP="00985601">
      <w:pPr>
        <w:numPr>
          <w:ilvl w:val="0"/>
          <w:numId w:val="21"/>
        </w:numPr>
        <w:ind w:left="360"/>
      </w:pPr>
      <w:r w:rsidRPr="004269FC">
        <w:t xml:space="preserve">Hayes Health Technology Brief.  Biofeedback for the Treatment of Dysfunctional Voiding in Children.  Mar 2009.  Archived </w:t>
      </w:r>
      <w:r w:rsidR="00A30A6A">
        <w:t>July 17, 2017.</w:t>
      </w:r>
    </w:p>
    <w:p w14:paraId="162419C1" w14:textId="77777777" w:rsidR="0062421C" w:rsidRPr="004269FC" w:rsidRDefault="0062421C" w:rsidP="00985601">
      <w:pPr>
        <w:numPr>
          <w:ilvl w:val="0"/>
          <w:numId w:val="21"/>
        </w:numPr>
        <w:ind w:left="360"/>
      </w:pPr>
      <w:r w:rsidRPr="004269FC">
        <w:t>American Gastroenterological Association, Bharucha AE, Dorn SD, et al.  American Gastroenterological Association Medical Position Statement on Constipation.  Gastroenterology. 2013 Jan;144(1):211-7.</w:t>
      </w:r>
    </w:p>
    <w:p w14:paraId="01FCB33F" w14:textId="77777777" w:rsidR="00AB4B3E" w:rsidRPr="004269FC" w:rsidRDefault="00AB4B3E" w:rsidP="00985601">
      <w:pPr>
        <w:numPr>
          <w:ilvl w:val="0"/>
          <w:numId w:val="21"/>
        </w:numPr>
        <w:ind w:left="360"/>
      </w:pPr>
      <w:r w:rsidRPr="004269FC">
        <w:t xml:space="preserve">Paquette IM, Varma MG, Kaiser AM, et al.  The American Society of Colon and Rectal Surgeons' Clinical Practice Guideline for the Treatment of Fecal Incontinence.  Jul 2015.  Available at:  </w:t>
      </w:r>
      <w:hyperlink r:id="rId15" w:history="1">
        <w:r w:rsidRPr="004269FC">
          <w:rPr>
            <w:rStyle w:val="Hyperlink"/>
          </w:rPr>
          <w:t>https://www.fascrs.org/sites/default/files/downloads/publication/clinical_practice_guideline_for_the_treatment_of_fecal_incontinence.pdf</w:t>
        </w:r>
      </w:hyperlink>
    </w:p>
    <w:p w14:paraId="567518DB" w14:textId="77777777" w:rsidR="003C0705" w:rsidRPr="004269FC" w:rsidRDefault="003C0705" w:rsidP="00985601">
      <w:pPr>
        <w:numPr>
          <w:ilvl w:val="0"/>
          <w:numId w:val="21"/>
        </w:numPr>
        <w:ind w:left="360"/>
      </w:pPr>
      <w:r w:rsidRPr="004269FC">
        <w:t xml:space="preserve">Silberstein SD. Practice parameter: evidence-based guidelines for migraine headache (an evidence-based review): report of the Quality Standards Subcommittee of the American Academy of Neurology. Neurology 2000 Sep 26;55(6):754-62. </w:t>
      </w:r>
      <w:r w:rsidR="007B0F16">
        <w:t xml:space="preserve"> </w:t>
      </w:r>
      <w:r w:rsidRPr="004269FC">
        <w:t xml:space="preserve">Available at:  </w:t>
      </w:r>
      <w:hyperlink r:id="rId16" w:history="1">
        <w:r w:rsidRPr="004269FC">
          <w:rPr>
            <w:rStyle w:val="Hyperlink"/>
          </w:rPr>
          <w:t>http://www.neurology.org/content/55/6/754.full.pdf+html</w:t>
        </w:r>
      </w:hyperlink>
    </w:p>
    <w:p w14:paraId="17779349" w14:textId="6432C8C4" w:rsidR="00F27704" w:rsidRPr="004269FC" w:rsidRDefault="00431032" w:rsidP="00F27704">
      <w:pPr>
        <w:numPr>
          <w:ilvl w:val="0"/>
          <w:numId w:val="21"/>
        </w:numPr>
        <w:ind w:left="360"/>
      </w:pPr>
      <w:r w:rsidRPr="004D7C75">
        <w:t>Effective</w:t>
      </w:r>
      <w:r w:rsidRPr="004269FC">
        <w:t xml:space="preserve"> Health Care Program. Nonsurgical Treatments for Urinary Incontinence in Adult Women: Diagnosis and Comparative Effectiveness. Agency for Healthcare Research Quality 2012.  Available at:  </w:t>
      </w:r>
      <w:hyperlink r:id="rId17" w:history="1">
        <w:r w:rsidR="00F27704" w:rsidRPr="009768B1">
          <w:rPr>
            <w:rStyle w:val="Hyperlink"/>
          </w:rPr>
          <w:t>https://effectivehealthcare.ahrq.gov/topics/urinary-incontinence-treatment/research</w:t>
        </w:r>
      </w:hyperlink>
      <w:r w:rsidR="00AB2A10" w:rsidRPr="00AB2A10" w:rsidDel="00AB2A10">
        <w:t xml:space="preserve"> </w:t>
      </w:r>
      <w:r w:rsidR="00845124">
        <w:t xml:space="preserve"> </w:t>
      </w:r>
    </w:p>
    <w:p w14:paraId="7E4A2DE6" w14:textId="77777777" w:rsidR="00431032" w:rsidRPr="004269FC" w:rsidRDefault="00BA553B" w:rsidP="00985601">
      <w:pPr>
        <w:numPr>
          <w:ilvl w:val="0"/>
          <w:numId w:val="21"/>
        </w:numPr>
        <w:ind w:left="360"/>
      </w:pPr>
      <w:r w:rsidRPr="004269FC">
        <w:t xml:space="preserve">Bertotto A, Schvartzman R, Uchôa S, et al.  Effect of electromyographic biofeedback as an add-on to pelvic floor muscle exercises on neuromuscular outcomes and quality of life in postmenopausal women with stress urinary incontinence: A randomized controlled trial. </w:t>
      </w:r>
      <w:r w:rsidR="005D4D85" w:rsidRPr="004269FC">
        <w:t>Neurourol Urodyn. 2017 May 16</w:t>
      </w:r>
      <w:r w:rsidR="00E96408">
        <w:t>; 36(8):2142-2147.</w:t>
      </w:r>
      <w:r w:rsidR="00A2007C">
        <w:t xml:space="preserve"> </w:t>
      </w:r>
    </w:p>
    <w:p w14:paraId="7ECFD2A0" w14:textId="77777777" w:rsidR="005D4D85" w:rsidRPr="004269FC" w:rsidRDefault="005D4D85" w:rsidP="00985601">
      <w:pPr>
        <w:numPr>
          <w:ilvl w:val="0"/>
          <w:numId w:val="21"/>
        </w:numPr>
        <w:ind w:left="360"/>
      </w:pPr>
      <w:r w:rsidRPr="004269FC">
        <w:t>Liu J, Zeng J, Wang H, et al.  Effect of pelvic floor muscle training with biofeedback on stress urinary incontinence in postpartum and post-menopausal women.  Zhonghua Fu Chan Ke Za Zhi. 2014 Oct;49(10):754-7</w:t>
      </w:r>
      <w:r w:rsidR="00303FCC">
        <w:t>.</w:t>
      </w:r>
    </w:p>
    <w:p w14:paraId="05D050EB" w14:textId="77777777" w:rsidR="005D4D85" w:rsidRPr="004269FC" w:rsidRDefault="005D4D85" w:rsidP="00985601">
      <w:pPr>
        <w:numPr>
          <w:ilvl w:val="0"/>
          <w:numId w:val="21"/>
        </w:numPr>
        <w:ind w:left="360"/>
      </w:pPr>
      <w:r w:rsidRPr="004269FC">
        <w:t>Hirakawa T, Suzuki S, Kato K, et al.  Randomized controlled trial of pelvic floor muscle training with or without biofeedback for urinary incontinence.  Int Urogynecol J. 2013 Aug;24(8):1347-54.</w:t>
      </w:r>
    </w:p>
    <w:p w14:paraId="23BD068A" w14:textId="77777777" w:rsidR="005D4D85" w:rsidRPr="004269FC" w:rsidRDefault="005D4D85" w:rsidP="00985601">
      <w:pPr>
        <w:numPr>
          <w:ilvl w:val="0"/>
          <w:numId w:val="21"/>
        </w:numPr>
        <w:ind w:left="360"/>
      </w:pPr>
      <w:r w:rsidRPr="004269FC">
        <w:t>Fitz FF, Resende AP, Stüpp L, et al.  Biofeedback for the treatment of female pelvic floor muscle dysfunction: a systematic review and meta-analysis.  Int Urogynecol J. 2012 Nov;23(11):1495-516</w:t>
      </w:r>
      <w:r w:rsidR="00303FCC">
        <w:t>.</w:t>
      </w:r>
    </w:p>
    <w:p w14:paraId="25B09455" w14:textId="77777777" w:rsidR="002E73CD" w:rsidRPr="004269FC" w:rsidRDefault="002E73CD" w:rsidP="00985601">
      <w:pPr>
        <w:pStyle w:val="ListParagraph"/>
        <w:numPr>
          <w:ilvl w:val="0"/>
          <w:numId w:val="21"/>
        </w:numPr>
        <w:ind w:left="360"/>
      </w:pPr>
      <w:r w:rsidRPr="004269FC">
        <w:t>Tugtepe H, Thomas DT, Ergun R, et al.  Comparison of biofeedback therapy in children with treatment-refractory dysfunctional voiding and overactive bladder.  Urology. 2015 Apr;85(4):900-4.</w:t>
      </w:r>
    </w:p>
    <w:p w14:paraId="02373D33" w14:textId="77777777" w:rsidR="002E73CD" w:rsidRPr="004269FC" w:rsidRDefault="002E73CD" w:rsidP="00985601">
      <w:pPr>
        <w:pStyle w:val="ListParagraph"/>
        <w:numPr>
          <w:ilvl w:val="0"/>
          <w:numId w:val="21"/>
        </w:numPr>
        <w:ind w:left="360"/>
      </w:pPr>
      <w:r w:rsidRPr="004269FC">
        <w:t>Krzemińska K, Maternik M, Drożyńska-Duklas M, et al.  High efficacy of biofeedback therapy for treatment of dysfunctional voiding in children. Cent European J Urol. 2012;65(4):212-5</w:t>
      </w:r>
      <w:r w:rsidR="00303FCC">
        <w:t>.</w:t>
      </w:r>
    </w:p>
    <w:p w14:paraId="1C338979" w14:textId="77777777" w:rsidR="002E73CD" w:rsidRPr="004269FC" w:rsidRDefault="002E73CD" w:rsidP="00985601">
      <w:pPr>
        <w:pStyle w:val="ListParagraph"/>
        <w:numPr>
          <w:ilvl w:val="0"/>
          <w:numId w:val="21"/>
        </w:numPr>
        <w:ind w:left="360"/>
      </w:pPr>
      <w:r w:rsidRPr="004269FC">
        <w:t xml:space="preserve"> Kajbafzadeh AM, Sharifi-Rad L, Ghahestani SM, et al.  Animated biofeedback: an ideal treatment for children with dysfunctional elimination syndrome.  J Urol. 2011 Dec;186(6):2379-84</w:t>
      </w:r>
      <w:r w:rsidR="00303FCC">
        <w:t>.</w:t>
      </w:r>
    </w:p>
    <w:p w14:paraId="002DA66E" w14:textId="77777777" w:rsidR="002E73CD" w:rsidRPr="004269FC" w:rsidRDefault="002E73CD" w:rsidP="00985601">
      <w:pPr>
        <w:pStyle w:val="ListParagraph"/>
        <w:numPr>
          <w:ilvl w:val="0"/>
          <w:numId w:val="21"/>
        </w:numPr>
        <w:ind w:left="360"/>
      </w:pPr>
      <w:r w:rsidRPr="004269FC">
        <w:t>Desantis DJ, Leonard MP, Preston MA et al.  Effectiveness of biofeedback for dysfunctional elimination syndrome in pediatrics: a systematic review.  Pediatr Urol. 2011 Jun;7(3):342-8</w:t>
      </w:r>
      <w:r w:rsidR="00303FCC">
        <w:t xml:space="preserve">.  </w:t>
      </w:r>
    </w:p>
    <w:p w14:paraId="7256684E" w14:textId="4A8FDD60" w:rsidR="00ED1E3E" w:rsidRDefault="00ED1E3E" w:rsidP="00985601">
      <w:pPr>
        <w:numPr>
          <w:ilvl w:val="0"/>
          <w:numId w:val="21"/>
        </w:numPr>
        <w:ind w:left="360"/>
      </w:pPr>
      <w:r w:rsidRPr="004269FC">
        <w:t xml:space="preserve">Robson K.M, Lembo A.J.  Fecal incontinence in adults: Management. </w:t>
      </w:r>
      <w:r w:rsidR="002A0E8B">
        <w:t>In:</w:t>
      </w:r>
      <w:r w:rsidRPr="004269FC">
        <w:t xml:space="preserve"> UpToDate. </w:t>
      </w:r>
      <w:r w:rsidR="002A0E8B">
        <w:t>Tally NJ (Ed). Waltham, MA.</w:t>
      </w:r>
      <w:r w:rsidRPr="004269FC">
        <w:t xml:space="preserve"> </w:t>
      </w:r>
      <w:r w:rsidR="00DC1EF6">
        <w:t xml:space="preserve">Accessed </w:t>
      </w:r>
      <w:r w:rsidR="007E2B26">
        <w:t>04/04/19</w:t>
      </w:r>
      <w:r w:rsidR="00DC1EF6">
        <w:t>.</w:t>
      </w:r>
    </w:p>
    <w:p w14:paraId="77EC67D4" w14:textId="77777777" w:rsidR="00E96408" w:rsidRDefault="00E96408" w:rsidP="00985601">
      <w:pPr>
        <w:numPr>
          <w:ilvl w:val="0"/>
          <w:numId w:val="21"/>
        </w:numPr>
        <w:ind w:left="360"/>
      </w:pPr>
      <w:r>
        <w:t>MacIntosh A, Lam E, Vigneron V, et al. Biofeedback interventions for individuals with cerebral palsy: a systematic review. Disability and Rehabilitation. 12 May 2018.</w:t>
      </w:r>
    </w:p>
    <w:p w14:paraId="43582308" w14:textId="0C2C75D5" w:rsidR="00135CB5" w:rsidRDefault="00E96408" w:rsidP="00985601">
      <w:pPr>
        <w:numPr>
          <w:ilvl w:val="0"/>
          <w:numId w:val="21"/>
        </w:numPr>
        <w:ind w:left="360"/>
      </w:pPr>
      <w:r>
        <w:t xml:space="preserve">Dinces EA. Treatment of tinnitus. In: UpToDate. Deschaler DG (Ed). Waltham MA. Accessed </w:t>
      </w:r>
      <w:r w:rsidR="007E2B26">
        <w:t>04/04/19</w:t>
      </w:r>
      <w:r>
        <w:t>.</w:t>
      </w:r>
    </w:p>
    <w:p w14:paraId="2744BCDB" w14:textId="20B12A92" w:rsidR="00E96408" w:rsidRDefault="00135CB5" w:rsidP="00985601">
      <w:pPr>
        <w:numPr>
          <w:ilvl w:val="0"/>
          <w:numId w:val="21"/>
        </w:numPr>
        <w:ind w:left="360"/>
      </w:pPr>
      <w:r>
        <w:t xml:space="preserve">Bharucha, AdilE, et al.  Surgical Interventions and the Use of Device-Aided Therapy for the Treatment of Fecal Incontinence and Defecatory Disorders.  Clinical Gastroenterology and Hepatology, </w:t>
      </w:r>
      <w:r w:rsidR="008353BF">
        <w:t xml:space="preserve">December 2017, </w:t>
      </w:r>
      <w:r>
        <w:t>Volume 15, Issue 12, 1844-1854.</w:t>
      </w:r>
    </w:p>
    <w:p w14:paraId="130DD3F6" w14:textId="77777777" w:rsidR="0013480A" w:rsidRPr="004269FC" w:rsidRDefault="0013480A" w:rsidP="00963062"/>
    <w:p w14:paraId="148932E7" w14:textId="77777777" w:rsidR="0013480A" w:rsidRPr="004269FC" w:rsidRDefault="0013480A" w:rsidP="00146C6E">
      <w:pPr>
        <w:rPr>
          <w:b/>
          <w:u w:val="single"/>
        </w:rPr>
      </w:pPr>
      <w:bookmarkStart w:id="3" w:name="Important_Reminder"/>
      <w:r w:rsidRPr="004269FC">
        <w:rPr>
          <w:b/>
          <w:bCs/>
          <w:u w:val="single"/>
        </w:rPr>
        <w:t>Important Reminder</w:t>
      </w:r>
      <w:bookmarkEnd w:id="3"/>
    </w:p>
    <w:p w14:paraId="6E7273AC" w14:textId="77777777" w:rsidR="0013480A" w:rsidRPr="004269FC" w:rsidRDefault="0013480A" w:rsidP="00146C6E">
      <w:r w:rsidRPr="004269FC">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4269FC">
        <w:rPr>
          <w:iCs/>
        </w:rPr>
        <w:t>The Health Plan</w:t>
      </w:r>
      <w:r w:rsidRPr="004269FC">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37CC90AF" w14:textId="77777777" w:rsidR="0013480A" w:rsidRPr="004269FC" w:rsidRDefault="0013480A" w:rsidP="00146C6E"/>
    <w:p w14:paraId="3DD76583" w14:textId="77777777" w:rsidR="0013480A" w:rsidRPr="004269FC" w:rsidRDefault="0013480A" w:rsidP="00146C6E">
      <w:r w:rsidRPr="004269FC">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B5E2790" w14:textId="77777777" w:rsidR="0013480A" w:rsidRPr="004269FC" w:rsidRDefault="0013480A" w:rsidP="00146C6E"/>
    <w:p w14:paraId="3620720A" w14:textId="77777777" w:rsidR="0013480A" w:rsidRPr="004269FC" w:rsidRDefault="0013480A" w:rsidP="00146C6E">
      <w:pPr>
        <w:rPr>
          <w:color w:val="002868"/>
        </w:rPr>
      </w:pPr>
      <w:r w:rsidRPr="004269FC">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5C3C25A" w14:textId="77777777" w:rsidR="0013480A" w:rsidRPr="004269FC" w:rsidRDefault="0013480A" w:rsidP="00146C6E"/>
    <w:p w14:paraId="1203AC92" w14:textId="77777777" w:rsidR="0013480A" w:rsidRPr="004269FC" w:rsidRDefault="0013480A" w:rsidP="00146C6E">
      <w:r w:rsidRPr="004269FC">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32002785" w14:textId="77777777" w:rsidR="0013480A" w:rsidRPr="004269FC" w:rsidRDefault="0013480A" w:rsidP="00146C6E"/>
    <w:p w14:paraId="4AF8E1EC" w14:textId="77777777" w:rsidR="0013480A" w:rsidRPr="004269FC" w:rsidRDefault="0013480A" w:rsidP="00146C6E">
      <w:r w:rsidRPr="004269FC">
        <w:t>Providers referred to in this clinical policy are independent contractors who exercise independent judgment and over whom the Health Plan has no control or right of control.  Providers are not agents or employees of the Health Plan.</w:t>
      </w:r>
    </w:p>
    <w:p w14:paraId="48FFF4F3" w14:textId="77777777" w:rsidR="0013480A" w:rsidRPr="004269FC" w:rsidRDefault="0013480A" w:rsidP="00146C6E"/>
    <w:p w14:paraId="1E64DC6E" w14:textId="77777777" w:rsidR="0013480A" w:rsidRPr="004269FC" w:rsidRDefault="0013480A" w:rsidP="00146C6E">
      <w:r w:rsidRPr="004269FC">
        <w:t xml:space="preserve">This clinical policy is the property of </w:t>
      </w:r>
      <w:r w:rsidRPr="004269FC">
        <w:rPr>
          <w:iCs/>
        </w:rPr>
        <w:t>the Health Plan</w:t>
      </w:r>
      <w:r w:rsidRPr="004269FC">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1E692CBF" w14:textId="77777777" w:rsidR="0013480A" w:rsidRPr="004269FC" w:rsidRDefault="0013480A" w:rsidP="00146C6E">
      <w:pPr>
        <w:autoSpaceDE w:val="0"/>
        <w:autoSpaceDN w:val="0"/>
        <w:adjustRightInd w:val="0"/>
        <w:rPr>
          <w:color w:val="000000"/>
        </w:rPr>
      </w:pPr>
    </w:p>
    <w:p w14:paraId="43E66B7C" w14:textId="77777777" w:rsidR="0013480A" w:rsidRPr="004269FC" w:rsidRDefault="0013480A" w:rsidP="00146C6E">
      <w:pPr>
        <w:autoSpaceDE w:val="0"/>
        <w:autoSpaceDN w:val="0"/>
        <w:adjustRightInd w:val="0"/>
        <w:rPr>
          <w:color w:val="000000"/>
        </w:rPr>
      </w:pPr>
      <w:r w:rsidRPr="004269FC">
        <w:rPr>
          <w:b/>
          <w:color w:val="000000"/>
        </w:rPr>
        <w:t>Note: For Medicaid members</w:t>
      </w:r>
      <w:r w:rsidRPr="004269FC">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9B6548D" w14:textId="77777777" w:rsidR="0013480A" w:rsidRPr="004269FC" w:rsidRDefault="0013480A" w:rsidP="00146C6E"/>
    <w:p w14:paraId="62D6A3A0" w14:textId="77777777" w:rsidR="0013480A" w:rsidRPr="004269FC" w:rsidRDefault="0013480A" w:rsidP="00146C6E">
      <w:pPr>
        <w:autoSpaceDE w:val="0"/>
        <w:autoSpaceDN w:val="0"/>
        <w:adjustRightInd w:val="0"/>
        <w:rPr>
          <w:color w:val="000000"/>
        </w:rPr>
      </w:pPr>
      <w:r w:rsidRPr="004269FC">
        <w:rPr>
          <w:b/>
          <w:bCs/>
          <w:color w:val="000000"/>
        </w:rPr>
        <w:t xml:space="preserve">Note: For Medicare members, </w:t>
      </w:r>
      <w:r w:rsidRPr="004269FC">
        <w:rPr>
          <w:color w:val="000000"/>
        </w:rPr>
        <w:t xml:space="preserve">to ensure consistency with the Medicare National Coverage Determinations (NCD) and Local Coverage Determinations (LCD), all applicable NCDs, LCDs, and Medicare Coverage Articles should be reviewed </w:t>
      </w:r>
      <w:r w:rsidRPr="004269FC">
        <w:rPr>
          <w:color w:val="000000"/>
          <w:u w:val="single"/>
        </w:rPr>
        <w:t>prior to</w:t>
      </w:r>
      <w:r w:rsidRPr="004269FC">
        <w:rPr>
          <w:color w:val="000000"/>
        </w:rPr>
        <w:t xml:space="preserve"> applying the criteria set forth in this clinical policy. Refer to the CMS website at </w:t>
      </w:r>
      <w:hyperlink r:id="rId18" w:history="1">
        <w:r w:rsidRPr="004269FC">
          <w:rPr>
            <w:color w:val="000000"/>
            <w:u w:val="single"/>
          </w:rPr>
          <w:t>http://www.cms.gov</w:t>
        </w:r>
      </w:hyperlink>
      <w:r w:rsidRPr="004269FC">
        <w:rPr>
          <w:color w:val="000000"/>
        </w:rPr>
        <w:t xml:space="preserve"> for additional information. </w:t>
      </w:r>
    </w:p>
    <w:p w14:paraId="5F501B72" w14:textId="77777777" w:rsidR="0013480A" w:rsidRPr="004269FC" w:rsidRDefault="0013480A" w:rsidP="00146C6E">
      <w:pPr>
        <w:rPr>
          <w:iCs/>
        </w:rPr>
      </w:pPr>
    </w:p>
    <w:p w14:paraId="1F39DAF4" w14:textId="77777777" w:rsidR="0013480A" w:rsidRPr="009F2D44" w:rsidRDefault="0013480A" w:rsidP="00AF5490">
      <w:pPr>
        <w:rPr>
          <w:iCs/>
        </w:rPr>
      </w:pPr>
      <w:r w:rsidRPr="004269FC">
        <w:rPr>
          <w:iCs/>
        </w:rPr>
        <w:t>©201</w:t>
      </w:r>
      <w:r w:rsidR="00242FD6">
        <w:rPr>
          <w:iCs/>
        </w:rPr>
        <w:t>7</w:t>
      </w:r>
      <w:r w:rsidRPr="004269FC">
        <w:rPr>
          <w:iCs/>
        </w:rPr>
        <w:t xml:space="preserve">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4269FC">
        <w:rPr>
          <w:iCs/>
          <w:vertAlign w:val="superscript"/>
        </w:rPr>
        <w:t>®</w:t>
      </w:r>
      <w:r w:rsidRPr="004269FC">
        <w:rPr>
          <w:iCs/>
        </w:rPr>
        <w:t xml:space="preserve"> and Centene Corporation</w:t>
      </w:r>
      <w:r w:rsidRPr="004269FC">
        <w:rPr>
          <w:iCs/>
          <w:vertAlign w:val="superscript"/>
        </w:rPr>
        <w:t>®</w:t>
      </w:r>
      <w:r w:rsidRPr="004269FC">
        <w:rPr>
          <w:iCs/>
        </w:rPr>
        <w:t xml:space="preserve"> are registered trademarks exclusively owned by Centene Corporation.</w:t>
      </w:r>
    </w:p>
    <w:sectPr w:rsidR="0013480A" w:rsidRPr="009F2D44"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7362D" w14:textId="77777777" w:rsidR="00C65B66" w:rsidRDefault="00C65B66">
      <w:r>
        <w:separator/>
      </w:r>
    </w:p>
  </w:endnote>
  <w:endnote w:type="continuationSeparator" w:id="0">
    <w:p w14:paraId="2FAC4F52" w14:textId="77777777" w:rsidR="00C65B66" w:rsidRDefault="00C6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1A9D" w14:textId="770CB7F7" w:rsidR="0013480A" w:rsidRPr="00D574CA" w:rsidRDefault="0013480A" w:rsidP="00D574CA">
    <w:pPr>
      <w:pStyle w:val="Footer"/>
      <w:jc w:val="center"/>
    </w:pPr>
    <w:r>
      <w:t xml:space="preserve">Page </w:t>
    </w:r>
    <w:r>
      <w:rPr>
        <w:b/>
        <w:bCs/>
      </w:rPr>
      <w:fldChar w:fldCharType="begin"/>
    </w:r>
    <w:r>
      <w:rPr>
        <w:b/>
        <w:bCs/>
      </w:rPr>
      <w:instrText xml:space="preserve"> PAGE </w:instrText>
    </w:r>
    <w:r>
      <w:rPr>
        <w:b/>
        <w:bCs/>
      </w:rPr>
      <w:fldChar w:fldCharType="separate"/>
    </w:r>
    <w:r w:rsidR="00A4009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40093">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EC94" w14:textId="2567824D" w:rsidR="0013480A" w:rsidRDefault="0013480A" w:rsidP="002C6AAB">
    <w:pPr>
      <w:pStyle w:val="Footer"/>
      <w:jc w:val="center"/>
    </w:pPr>
    <w:r>
      <w:t xml:space="preserve">Page </w:t>
    </w:r>
    <w:r w:rsidR="00300A65">
      <w:fldChar w:fldCharType="begin"/>
    </w:r>
    <w:r w:rsidR="00300A65">
      <w:instrText xml:space="preserve"> PAGE   \* MERGEFORMAT </w:instrText>
    </w:r>
    <w:r w:rsidR="00300A65">
      <w:fldChar w:fldCharType="separate"/>
    </w:r>
    <w:r w:rsidR="00A40093">
      <w:rPr>
        <w:noProof/>
      </w:rPr>
      <w:t>1</w:t>
    </w:r>
    <w:r w:rsidR="00300A65">
      <w:rPr>
        <w:noProof/>
      </w:rPr>
      <w:fldChar w:fldCharType="end"/>
    </w:r>
    <w:r>
      <w:t xml:space="preserve"> of </w:t>
    </w:r>
    <w:r w:rsidR="0073111A">
      <w:rPr>
        <w:noProof/>
      </w:rPr>
      <w:fldChar w:fldCharType="begin"/>
    </w:r>
    <w:r w:rsidR="0073111A">
      <w:rPr>
        <w:noProof/>
      </w:rPr>
      <w:instrText xml:space="preserve"> NUMPAGES   \* MERGEFORMAT </w:instrText>
    </w:r>
    <w:r w:rsidR="0073111A">
      <w:rPr>
        <w:noProof/>
      </w:rPr>
      <w:fldChar w:fldCharType="separate"/>
    </w:r>
    <w:r w:rsidR="00A40093">
      <w:rPr>
        <w:noProof/>
      </w:rPr>
      <w:t>1</w:t>
    </w:r>
    <w:r w:rsidR="0073111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99BC" w14:textId="77777777" w:rsidR="00C65B66" w:rsidRDefault="00C65B66">
      <w:r>
        <w:separator/>
      </w:r>
    </w:p>
  </w:footnote>
  <w:footnote w:type="continuationSeparator" w:id="0">
    <w:p w14:paraId="36E566CD" w14:textId="77777777" w:rsidR="00C65B66" w:rsidRDefault="00C6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6689A" w14:textId="77777777" w:rsidR="0013480A" w:rsidRPr="00B777AF" w:rsidRDefault="0013480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D81F95">
      <w:rPr>
        <w:noProof/>
        <w:color w:val="00548C"/>
      </w:rPr>
      <w:drawing>
        <wp:inline distT="0" distB="0" distL="0" distR="0" wp14:anchorId="3477C9BA" wp14:editId="7282A7EE">
          <wp:extent cx="904875" cy="238125"/>
          <wp:effectExtent l="0" t="0" r="9525" b="9525"/>
          <wp:docPr id="7" name="Picture 7"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2517C0F4" w14:textId="77777777" w:rsidR="0013480A" w:rsidRPr="00B777AF" w:rsidRDefault="006A272E" w:rsidP="00B777AF">
    <w:pPr>
      <w:rPr>
        <w:color w:val="00548C"/>
      </w:rPr>
    </w:pPr>
    <w:r>
      <w:rPr>
        <w:color w:val="00548C"/>
      </w:rPr>
      <w:t>Biofeedback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DFCD" w14:textId="77777777" w:rsidR="0013480A" w:rsidRDefault="00D81F95" w:rsidP="00B777AF">
    <w:pPr>
      <w:pStyle w:val="Header"/>
      <w:jc w:val="right"/>
    </w:pPr>
    <w:r>
      <w:rPr>
        <w:noProof/>
      </w:rPr>
      <w:drawing>
        <wp:inline distT="0" distB="0" distL="0" distR="0" wp14:anchorId="19713A9E" wp14:editId="27E27B45">
          <wp:extent cx="1362075" cy="342900"/>
          <wp:effectExtent l="0" t="0" r="9525" b="0"/>
          <wp:docPr id="8" name="Picture 8"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9C763F"/>
    <w:multiLevelType w:val="hybridMultilevel"/>
    <w:tmpl w:val="6366C244"/>
    <w:lvl w:ilvl="0" w:tplc="9BFA635E">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9D820B2"/>
    <w:multiLevelType w:val="hybridMultilevel"/>
    <w:tmpl w:val="282ED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2660E"/>
    <w:multiLevelType w:val="hybridMultilevel"/>
    <w:tmpl w:val="EDD0DE10"/>
    <w:lvl w:ilvl="0" w:tplc="D5920432">
      <w:start w:val="1"/>
      <w:numFmt w:val="upperRoman"/>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A3031"/>
    <w:multiLevelType w:val="hybridMultilevel"/>
    <w:tmpl w:val="8446FC28"/>
    <w:lvl w:ilvl="0" w:tplc="9BFA635E">
      <w:start w:val="1"/>
      <w:numFmt w:val="decimal"/>
      <w:lvlText w:val="%1."/>
      <w:lvlJc w:val="left"/>
      <w:pPr>
        <w:ind w:left="720" w:hanging="360"/>
      </w:pPr>
      <w:rPr>
        <w:rFonts w:ascii="Verdana" w:hAnsi="Verdana" w:hint="default"/>
        <w:b w:val="0"/>
        <w:i w:val="0"/>
        <w:color w:val="auto"/>
        <w:sz w:val="20"/>
      </w:rPr>
    </w:lvl>
    <w:lvl w:ilvl="1" w:tplc="04090019" w:tentative="1">
      <w:start w:val="1"/>
      <w:numFmt w:val="lowerLetter"/>
      <w:lvlText w:val="%2."/>
      <w:lvlJc w:val="left"/>
      <w:pPr>
        <w:ind w:left="1440" w:hanging="360"/>
      </w:pPr>
    </w:lvl>
    <w:lvl w:ilvl="2" w:tplc="25EE69B4">
      <w:start w:val="1"/>
      <w:numFmt w:val="decimal"/>
      <w:lvlText w:val="%3."/>
      <w:lvlJc w:val="left"/>
      <w:pPr>
        <w:ind w:left="2160" w:hanging="180"/>
      </w:pPr>
      <w:rPr>
        <w:rFonts w:ascii="Times New Roman" w:hAnsi="Times New Roman" w:cs="Times New Roman" w:hint="default"/>
        <w:b w:val="0"/>
        <w:i w:val="0"/>
        <w:color w:val="auto"/>
        <w:sz w:val="24"/>
        <w:szCs w:val="24"/>
      </w:rPr>
    </w:lvl>
    <w:lvl w:ilvl="3" w:tplc="04090019">
      <w:start w:val="1"/>
      <w:numFmt w:val="lowerLetter"/>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5C8B1A41"/>
    <w:multiLevelType w:val="hybridMultilevel"/>
    <w:tmpl w:val="C08E9C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D1E3D0A"/>
    <w:multiLevelType w:val="hybridMultilevel"/>
    <w:tmpl w:val="C72807D4"/>
    <w:lvl w:ilvl="0" w:tplc="6BAC0802">
      <w:start w:val="1"/>
      <w:numFmt w:val="upperRoman"/>
      <w:lvlText w:val="%1."/>
      <w:lvlJc w:val="left"/>
      <w:pPr>
        <w:ind w:left="720" w:hanging="360"/>
      </w:pPr>
      <w:rPr>
        <w:rFonts w:cs="Times New Roman" w:hint="default"/>
        <w:b/>
        <w:i w:val="0"/>
      </w:rPr>
    </w:lvl>
    <w:lvl w:ilvl="1" w:tplc="9C12CBB0">
      <w:start w:val="1"/>
      <w:numFmt w:val="upperLetter"/>
      <w:lvlText w:val="%2."/>
      <w:lvlJc w:val="left"/>
      <w:pPr>
        <w:ind w:left="540" w:hanging="360"/>
      </w:pPr>
      <w:rPr>
        <w:rFonts w:cs="Times New Roman"/>
        <w:b/>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9"/>
  </w:num>
  <w:num w:numId="4">
    <w:abstractNumId w:val="12"/>
  </w:num>
  <w:num w:numId="5">
    <w:abstractNumId w:val="13"/>
  </w:num>
  <w:num w:numId="6">
    <w:abstractNumId w:val="20"/>
  </w:num>
  <w:num w:numId="7">
    <w:abstractNumId w:val="21"/>
  </w:num>
  <w:num w:numId="8">
    <w:abstractNumId w:val="1"/>
  </w:num>
  <w:num w:numId="9">
    <w:abstractNumId w:val="17"/>
  </w:num>
  <w:num w:numId="10">
    <w:abstractNumId w:val="7"/>
  </w:num>
  <w:num w:numId="11">
    <w:abstractNumId w:val="23"/>
  </w:num>
  <w:num w:numId="12">
    <w:abstractNumId w:val="11"/>
  </w:num>
  <w:num w:numId="13">
    <w:abstractNumId w:val="10"/>
  </w:num>
  <w:num w:numId="14">
    <w:abstractNumId w:val="5"/>
  </w:num>
  <w:num w:numId="15">
    <w:abstractNumId w:val="8"/>
  </w:num>
  <w:num w:numId="16">
    <w:abstractNumId w:val="22"/>
  </w:num>
  <w:num w:numId="17">
    <w:abstractNumId w:val="18"/>
  </w:num>
  <w:num w:numId="18">
    <w:abstractNumId w:val="14"/>
  </w:num>
  <w:num w:numId="19">
    <w:abstractNumId w:val="6"/>
  </w:num>
  <w:num w:numId="20">
    <w:abstractNumId w:val="3"/>
  </w:num>
  <w:num w:numId="21">
    <w:abstractNumId w:val="19"/>
  </w:num>
  <w:num w:numId="22">
    <w:abstractNumId w:val="2"/>
  </w:num>
  <w:num w:numId="23">
    <w:abstractNumId w:val="16"/>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1505B"/>
    <w:rsid w:val="00017398"/>
    <w:rsid w:val="00032D3F"/>
    <w:rsid w:val="000465DE"/>
    <w:rsid w:val="0004733E"/>
    <w:rsid w:val="00060509"/>
    <w:rsid w:val="00083740"/>
    <w:rsid w:val="00094136"/>
    <w:rsid w:val="000C40BB"/>
    <w:rsid w:val="000C582A"/>
    <w:rsid w:val="000E136E"/>
    <w:rsid w:val="000E4441"/>
    <w:rsid w:val="000F10C2"/>
    <w:rsid w:val="00103084"/>
    <w:rsid w:val="001148A8"/>
    <w:rsid w:val="00131AEF"/>
    <w:rsid w:val="0013480A"/>
    <w:rsid w:val="00135CB5"/>
    <w:rsid w:val="001362D0"/>
    <w:rsid w:val="0014316D"/>
    <w:rsid w:val="00146B49"/>
    <w:rsid w:val="00146C6E"/>
    <w:rsid w:val="00170B14"/>
    <w:rsid w:val="00177295"/>
    <w:rsid w:val="001818D7"/>
    <w:rsid w:val="00185104"/>
    <w:rsid w:val="001962BE"/>
    <w:rsid w:val="00196689"/>
    <w:rsid w:val="00196935"/>
    <w:rsid w:val="0019746F"/>
    <w:rsid w:val="001D0D34"/>
    <w:rsid w:val="001D70D4"/>
    <w:rsid w:val="001E7D12"/>
    <w:rsid w:val="00204C6B"/>
    <w:rsid w:val="0020675F"/>
    <w:rsid w:val="00220736"/>
    <w:rsid w:val="00230FE4"/>
    <w:rsid w:val="00233651"/>
    <w:rsid w:val="00233814"/>
    <w:rsid w:val="00242FD6"/>
    <w:rsid w:val="00254020"/>
    <w:rsid w:val="0025452A"/>
    <w:rsid w:val="00285997"/>
    <w:rsid w:val="00295311"/>
    <w:rsid w:val="002A0E8B"/>
    <w:rsid w:val="002A39EE"/>
    <w:rsid w:val="002B0582"/>
    <w:rsid w:val="002C6AAB"/>
    <w:rsid w:val="002D019A"/>
    <w:rsid w:val="002E48E7"/>
    <w:rsid w:val="002E5306"/>
    <w:rsid w:val="002E73CD"/>
    <w:rsid w:val="00300A65"/>
    <w:rsid w:val="00303FCC"/>
    <w:rsid w:val="003140D6"/>
    <w:rsid w:val="003163AD"/>
    <w:rsid w:val="00336E37"/>
    <w:rsid w:val="00350F22"/>
    <w:rsid w:val="003840CC"/>
    <w:rsid w:val="00387897"/>
    <w:rsid w:val="003A46A9"/>
    <w:rsid w:val="003C0705"/>
    <w:rsid w:val="003D7BE7"/>
    <w:rsid w:val="003F3D44"/>
    <w:rsid w:val="0040226C"/>
    <w:rsid w:val="00414C8E"/>
    <w:rsid w:val="00424D19"/>
    <w:rsid w:val="004269FC"/>
    <w:rsid w:val="00431032"/>
    <w:rsid w:val="00472C6C"/>
    <w:rsid w:val="0048069F"/>
    <w:rsid w:val="00480C09"/>
    <w:rsid w:val="00493710"/>
    <w:rsid w:val="00496BCF"/>
    <w:rsid w:val="00497AED"/>
    <w:rsid w:val="004A7D0C"/>
    <w:rsid w:val="004D7C75"/>
    <w:rsid w:val="004E0B99"/>
    <w:rsid w:val="004E38F3"/>
    <w:rsid w:val="004F6394"/>
    <w:rsid w:val="00505830"/>
    <w:rsid w:val="00507DC0"/>
    <w:rsid w:val="005103B8"/>
    <w:rsid w:val="005144C0"/>
    <w:rsid w:val="0052131D"/>
    <w:rsid w:val="00522977"/>
    <w:rsid w:val="00535953"/>
    <w:rsid w:val="005423D4"/>
    <w:rsid w:val="005537B0"/>
    <w:rsid w:val="00554FB9"/>
    <w:rsid w:val="00556CBA"/>
    <w:rsid w:val="005776FD"/>
    <w:rsid w:val="00583376"/>
    <w:rsid w:val="00591E24"/>
    <w:rsid w:val="005A60CF"/>
    <w:rsid w:val="005C17DF"/>
    <w:rsid w:val="005C3607"/>
    <w:rsid w:val="005D009F"/>
    <w:rsid w:val="005D4D85"/>
    <w:rsid w:val="005D5146"/>
    <w:rsid w:val="005D6347"/>
    <w:rsid w:val="005D7B81"/>
    <w:rsid w:val="005E117C"/>
    <w:rsid w:val="005E411E"/>
    <w:rsid w:val="005F051C"/>
    <w:rsid w:val="0062421C"/>
    <w:rsid w:val="00624E28"/>
    <w:rsid w:val="006474BB"/>
    <w:rsid w:val="006664E9"/>
    <w:rsid w:val="00670DBE"/>
    <w:rsid w:val="006A272E"/>
    <w:rsid w:val="006A461C"/>
    <w:rsid w:val="006C5289"/>
    <w:rsid w:val="006C74DF"/>
    <w:rsid w:val="006E777C"/>
    <w:rsid w:val="006F2A76"/>
    <w:rsid w:val="006F4D70"/>
    <w:rsid w:val="00712536"/>
    <w:rsid w:val="007163E2"/>
    <w:rsid w:val="0073111A"/>
    <w:rsid w:val="00744250"/>
    <w:rsid w:val="007747F9"/>
    <w:rsid w:val="007764CE"/>
    <w:rsid w:val="00793391"/>
    <w:rsid w:val="007A0BCC"/>
    <w:rsid w:val="007B07AE"/>
    <w:rsid w:val="007B0F16"/>
    <w:rsid w:val="007B50D0"/>
    <w:rsid w:val="007C6622"/>
    <w:rsid w:val="007D4801"/>
    <w:rsid w:val="007E2B26"/>
    <w:rsid w:val="007F1F19"/>
    <w:rsid w:val="008203E5"/>
    <w:rsid w:val="008353BF"/>
    <w:rsid w:val="00845124"/>
    <w:rsid w:val="00846558"/>
    <w:rsid w:val="008502AC"/>
    <w:rsid w:val="00857C10"/>
    <w:rsid w:val="00875924"/>
    <w:rsid w:val="00877EC7"/>
    <w:rsid w:val="00896E94"/>
    <w:rsid w:val="008B0705"/>
    <w:rsid w:val="008C6B3A"/>
    <w:rsid w:val="008C71B0"/>
    <w:rsid w:val="00902C9B"/>
    <w:rsid w:val="009135E0"/>
    <w:rsid w:val="00915CA4"/>
    <w:rsid w:val="00933F9A"/>
    <w:rsid w:val="00950820"/>
    <w:rsid w:val="00955A05"/>
    <w:rsid w:val="00961071"/>
    <w:rsid w:val="00963062"/>
    <w:rsid w:val="009735FA"/>
    <w:rsid w:val="00977ECA"/>
    <w:rsid w:val="00982180"/>
    <w:rsid w:val="00985601"/>
    <w:rsid w:val="009928B2"/>
    <w:rsid w:val="00995FC7"/>
    <w:rsid w:val="0099701F"/>
    <w:rsid w:val="009A7220"/>
    <w:rsid w:val="009C61B2"/>
    <w:rsid w:val="009D5928"/>
    <w:rsid w:val="009E6F29"/>
    <w:rsid w:val="009F2D44"/>
    <w:rsid w:val="00A2007C"/>
    <w:rsid w:val="00A20F73"/>
    <w:rsid w:val="00A30A6A"/>
    <w:rsid w:val="00A40093"/>
    <w:rsid w:val="00A41969"/>
    <w:rsid w:val="00A60413"/>
    <w:rsid w:val="00A7003A"/>
    <w:rsid w:val="00A83658"/>
    <w:rsid w:val="00A85489"/>
    <w:rsid w:val="00A87B1F"/>
    <w:rsid w:val="00AA336E"/>
    <w:rsid w:val="00AA428E"/>
    <w:rsid w:val="00AB2A10"/>
    <w:rsid w:val="00AB4B3E"/>
    <w:rsid w:val="00AC6579"/>
    <w:rsid w:val="00AD1AA6"/>
    <w:rsid w:val="00AF035A"/>
    <w:rsid w:val="00AF1F2A"/>
    <w:rsid w:val="00AF30EF"/>
    <w:rsid w:val="00AF5490"/>
    <w:rsid w:val="00B23F7E"/>
    <w:rsid w:val="00B2592D"/>
    <w:rsid w:val="00B26BB1"/>
    <w:rsid w:val="00B4633B"/>
    <w:rsid w:val="00B7267E"/>
    <w:rsid w:val="00B777AF"/>
    <w:rsid w:val="00B81789"/>
    <w:rsid w:val="00B926D8"/>
    <w:rsid w:val="00B92DF1"/>
    <w:rsid w:val="00BA553B"/>
    <w:rsid w:val="00BD22B3"/>
    <w:rsid w:val="00BF3F7E"/>
    <w:rsid w:val="00BF4150"/>
    <w:rsid w:val="00C01AA6"/>
    <w:rsid w:val="00C06257"/>
    <w:rsid w:val="00C079B0"/>
    <w:rsid w:val="00C10DF0"/>
    <w:rsid w:val="00C14250"/>
    <w:rsid w:val="00C2297C"/>
    <w:rsid w:val="00C64BB4"/>
    <w:rsid w:val="00C65B66"/>
    <w:rsid w:val="00C73CF5"/>
    <w:rsid w:val="00C75BD4"/>
    <w:rsid w:val="00C81965"/>
    <w:rsid w:val="00C82E24"/>
    <w:rsid w:val="00C86B16"/>
    <w:rsid w:val="00C96847"/>
    <w:rsid w:val="00CA53B9"/>
    <w:rsid w:val="00CA5C08"/>
    <w:rsid w:val="00CD2755"/>
    <w:rsid w:val="00CD412F"/>
    <w:rsid w:val="00CF2624"/>
    <w:rsid w:val="00D36448"/>
    <w:rsid w:val="00D51ACA"/>
    <w:rsid w:val="00D574CA"/>
    <w:rsid w:val="00D71BC4"/>
    <w:rsid w:val="00D81F95"/>
    <w:rsid w:val="00DB1DE9"/>
    <w:rsid w:val="00DB7073"/>
    <w:rsid w:val="00DC1EF6"/>
    <w:rsid w:val="00DD025A"/>
    <w:rsid w:val="00DD6ADB"/>
    <w:rsid w:val="00DD7D7A"/>
    <w:rsid w:val="00DE18E2"/>
    <w:rsid w:val="00E3767B"/>
    <w:rsid w:val="00E7516C"/>
    <w:rsid w:val="00E96408"/>
    <w:rsid w:val="00E97C17"/>
    <w:rsid w:val="00EA3809"/>
    <w:rsid w:val="00EC2AE4"/>
    <w:rsid w:val="00ED0A0D"/>
    <w:rsid w:val="00ED1E3E"/>
    <w:rsid w:val="00ED5C0B"/>
    <w:rsid w:val="00F03DC0"/>
    <w:rsid w:val="00F2705D"/>
    <w:rsid w:val="00F27704"/>
    <w:rsid w:val="00F30CBB"/>
    <w:rsid w:val="00F422E1"/>
    <w:rsid w:val="00F42CFB"/>
    <w:rsid w:val="00F67BBD"/>
    <w:rsid w:val="00F71F8E"/>
    <w:rsid w:val="00F74762"/>
    <w:rsid w:val="00F91367"/>
    <w:rsid w:val="00F95133"/>
    <w:rsid w:val="00FB0592"/>
    <w:rsid w:val="00FB139B"/>
    <w:rsid w:val="00FE11CB"/>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95E7281"/>
  <w15:docId w15:val="{9C0300B4-54EA-4CD9-8E33-2A4B0539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20"/>
    <w:rPr>
      <w:sz w:val="24"/>
      <w:szCs w:val="24"/>
    </w:rPr>
  </w:style>
  <w:style w:type="paragraph" w:styleId="Heading1">
    <w:name w:val="heading 1"/>
    <w:basedOn w:val="Normal"/>
    <w:next w:val="Normal"/>
    <w:link w:val="Heading1Char"/>
    <w:uiPriority w:val="99"/>
    <w:qFormat/>
    <w:rsid w:val="009A7220"/>
    <w:pPr>
      <w:keepNext/>
      <w:outlineLvl w:val="0"/>
    </w:pPr>
    <w:rPr>
      <w:b/>
      <w:bCs/>
      <w:sz w:val="20"/>
      <w:szCs w:val="12"/>
    </w:rPr>
  </w:style>
  <w:style w:type="paragraph" w:styleId="Heading2">
    <w:name w:val="heading 2"/>
    <w:basedOn w:val="Normal"/>
    <w:next w:val="Normal"/>
    <w:link w:val="Heading2Char"/>
    <w:uiPriority w:val="99"/>
    <w:qFormat/>
    <w:rsid w:val="009A7220"/>
    <w:pPr>
      <w:keepNext/>
      <w:outlineLvl w:val="1"/>
    </w:pPr>
    <w:rPr>
      <w:b/>
      <w:bCs/>
      <w:u w:val="single"/>
    </w:rPr>
  </w:style>
  <w:style w:type="paragraph" w:styleId="Heading3">
    <w:name w:val="heading 3"/>
    <w:basedOn w:val="Normal"/>
    <w:next w:val="Normal"/>
    <w:link w:val="Heading3Char"/>
    <w:uiPriority w:val="99"/>
    <w:qFormat/>
    <w:rsid w:val="009A7220"/>
    <w:pPr>
      <w:keepNext/>
      <w:outlineLvl w:val="2"/>
    </w:pPr>
    <w:rPr>
      <w:b/>
      <w:bCs/>
    </w:rPr>
  </w:style>
  <w:style w:type="paragraph" w:styleId="Heading4">
    <w:name w:val="heading 4"/>
    <w:basedOn w:val="Normal"/>
    <w:next w:val="Normal"/>
    <w:link w:val="Heading4Char"/>
    <w:uiPriority w:val="99"/>
    <w:qFormat/>
    <w:rsid w:val="009A7220"/>
    <w:pPr>
      <w:keepNext/>
      <w:jc w:val="center"/>
      <w:outlineLvl w:val="3"/>
    </w:pPr>
    <w:rPr>
      <w:b/>
      <w:bCs/>
    </w:rPr>
  </w:style>
  <w:style w:type="paragraph" w:styleId="Heading5">
    <w:name w:val="heading 5"/>
    <w:basedOn w:val="Normal"/>
    <w:next w:val="Normal"/>
    <w:link w:val="Heading5Char"/>
    <w:uiPriority w:val="99"/>
    <w:qFormat/>
    <w:rsid w:val="009A7220"/>
    <w:pPr>
      <w:keepNext/>
      <w:outlineLvl w:val="4"/>
    </w:pPr>
    <w:rPr>
      <w:b/>
      <w:szCs w:val="20"/>
    </w:rPr>
  </w:style>
  <w:style w:type="paragraph" w:styleId="Heading6">
    <w:name w:val="heading 6"/>
    <w:basedOn w:val="Normal"/>
    <w:next w:val="Normal"/>
    <w:link w:val="Heading6Char"/>
    <w:uiPriority w:val="99"/>
    <w:qFormat/>
    <w:rsid w:val="009A7220"/>
    <w:pPr>
      <w:keepNext/>
      <w:tabs>
        <w:tab w:val="num" w:pos="0"/>
      </w:tabs>
      <w:jc w:val="center"/>
      <w:outlineLvl w:val="5"/>
    </w:pPr>
    <w:rPr>
      <w:b/>
      <w:szCs w:val="20"/>
    </w:rPr>
  </w:style>
  <w:style w:type="paragraph" w:styleId="Heading7">
    <w:name w:val="heading 7"/>
    <w:basedOn w:val="Normal"/>
    <w:next w:val="Normal"/>
    <w:link w:val="Heading7Char"/>
    <w:uiPriority w:val="99"/>
    <w:qFormat/>
    <w:rsid w:val="009A7220"/>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F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22F9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22F9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22F9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22F9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22F9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22F9B"/>
    <w:rPr>
      <w:rFonts w:asciiTheme="minorHAnsi" w:eastAsiaTheme="minorEastAsia" w:hAnsiTheme="minorHAnsi" w:cstheme="minorBidi"/>
      <w:sz w:val="24"/>
      <w:szCs w:val="24"/>
    </w:rPr>
  </w:style>
  <w:style w:type="paragraph" w:styleId="Header">
    <w:name w:val="header"/>
    <w:basedOn w:val="Normal"/>
    <w:link w:val="HeaderChar"/>
    <w:uiPriority w:val="99"/>
    <w:rsid w:val="009A7220"/>
    <w:pPr>
      <w:tabs>
        <w:tab w:val="center" w:pos="4320"/>
        <w:tab w:val="right" w:pos="8640"/>
      </w:tabs>
    </w:pPr>
  </w:style>
  <w:style w:type="character" w:customStyle="1" w:styleId="HeaderChar">
    <w:name w:val="Header Char"/>
    <w:basedOn w:val="DefaultParagraphFont"/>
    <w:link w:val="Header"/>
    <w:uiPriority w:val="99"/>
    <w:semiHidden/>
    <w:rsid w:val="00122F9B"/>
    <w:rPr>
      <w:sz w:val="24"/>
      <w:szCs w:val="24"/>
    </w:rPr>
  </w:style>
  <w:style w:type="paragraph" w:styleId="Footer">
    <w:name w:val="footer"/>
    <w:basedOn w:val="Normal"/>
    <w:link w:val="FooterChar"/>
    <w:uiPriority w:val="99"/>
    <w:rsid w:val="009A7220"/>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9A7220"/>
    <w:pPr>
      <w:jc w:val="center"/>
    </w:pPr>
    <w:rPr>
      <w:b/>
      <w:bCs/>
      <w:szCs w:val="20"/>
    </w:rPr>
  </w:style>
  <w:style w:type="character" w:customStyle="1" w:styleId="TitleChar">
    <w:name w:val="Title Char"/>
    <w:basedOn w:val="DefaultParagraphFont"/>
    <w:link w:val="Title"/>
    <w:uiPriority w:val="10"/>
    <w:rsid w:val="00122F9B"/>
    <w:rPr>
      <w:rFonts w:asciiTheme="majorHAnsi" w:eastAsiaTheme="majorEastAsia" w:hAnsiTheme="majorHAnsi" w:cstheme="majorBidi"/>
      <w:b/>
      <w:bCs/>
      <w:kern w:val="28"/>
      <w:sz w:val="32"/>
      <w:szCs w:val="32"/>
    </w:rPr>
  </w:style>
  <w:style w:type="character" w:customStyle="1" w:styleId="EmailStyle20">
    <w:name w:val="EmailStyle20"/>
    <w:uiPriority w:val="99"/>
    <w:rsid w:val="009A7220"/>
    <w:rPr>
      <w:rFonts w:ascii="Arial" w:hAnsi="Arial"/>
      <w:color w:val="000000"/>
      <w:sz w:val="20"/>
    </w:rPr>
  </w:style>
  <w:style w:type="paragraph" w:styleId="NormalWeb">
    <w:name w:val="Normal (Web)"/>
    <w:basedOn w:val="Normal"/>
    <w:uiPriority w:val="99"/>
    <w:rsid w:val="009A7220"/>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9A7220"/>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122F9B"/>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7163E2"/>
    <w:pPr>
      <w:ind w:left="720"/>
      <w:contextualSpacing/>
    </w:pPr>
  </w:style>
  <w:style w:type="paragraph" w:styleId="EndnoteText">
    <w:name w:val="endnote text"/>
    <w:basedOn w:val="Normal"/>
    <w:link w:val="EndnoteTextChar"/>
    <w:uiPriority w:val="99"/>
    <w:semiHidden/>
    <w:unhideWhenUsed/>
    <w:rsid w:val="00BD22B3"/>
    <w:rPr>
      <w:sz w:val="20"/>
      <w:szCs w:val="20"/>
    </w:rPr>
  </w:style>
  <w:style w:type="character" w:customStyle="1" w:styleId="EndnoteTextChar">
    <w:name w:val="Endnote Text Char"/>
    <w:basedOn w:val="DefaultParagraphFont"/>
    <w:link w:val="EndnoteText"/>
    <w:uiPriority w:val="99"/>
    <w:semiHidden/>
    <w:rsid w:val="00BD22B3"/>
    <w:rPr>
      <w:sz w:val="20"/>
      <w:szCs w:val="20"/>
    </w:rPr>
  </w:style>
  <w:style w:type="character" w:styleId="EndnoteReference">
    <w:name w:val="endnote reference"/>
    <w:basedOn w:val="DefaultParagraphFont"/>
    <w:uiPriority w:val="99"/>
    <w:semiHidden/>
    <w:unhideWhenUsed/>
    <w:rsid w:val="00BD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2467">
      <w:marLeft w:val="0"/>
      <w:marRight w:val="0"/>
      <w:marTop w:val="0"/>
      <w:marBottom w:val="0"/>
      <w:divBdr>
        <w:top w:val="none" w:sz="0" w:space="0" w:color="auto"/>
        <w:left w:val="none" w:sz="0" w:space="0" w:color="auto"/>
        <w:bottom w:val="none" w:sz="0" w:space="0" w:color="auto"/>
        <w:right w:val="none" w:sz="0" w:space="0" w:color="auto"/>
      </w:divBdr>
    </w:div>
    <w:div w:id="37362469">
      <w:marLeft w:val="0"/>
      <w:marRight w:val="0"/>
      <w:marTop w:val="0"/>
      <w:marBottom w:val="0"/>
      <w:divBdr>
        <w:top w:val="none" w:sz="0" w:space="0" w:color="auto"/>
        <w:left w:val="none" w:sz="0" w:space="0" w:color="auto"/>
        <w:bottom w:val="none" w:sz="0" w:space="0" w:color="auto"/>
        <w:right w:val="none" w:sz="0" w:space="0" w:color="auto"/>
      </w:divBdr>
      <w:divsChild>
        <w:div w:id="37362468">
          <w:marLeft w:val="0"/>
          <w:marRight w:val="0"/>
          <w:marTop w:val="0"/>
          <w:marBottom w:val="0"/>
          <w:divBdr>
            <w:top w:val="none" w:sz="0" w:space="0" w:color="auto"/>
            <w:left w:val="none" w:sz="0" w:space="0" w:color="auto"/>
            <w:bottom w:val="none" w:sz="0" w:space="0" w:color="auto"/>
            <w:right w:val="none" w:sz="0" w:space="0" w:color="auto"/>
          </w:divBdr>
        </w:div>
        <w:div w:id="37362471">
          <w:marLeft w:val="0"/>
          <w:marRight w:val="0"/>
          <w:marTop w:val="0"/>
          <w:marBottom w:val="0"/>
          <w:divBdr>
            <w:top w:val="none" w:sz="0" w:space="0" w:color="auto"/>
            <w:left w:val="none" w:sz="0" w:space="0" w:color="auto"/>
            <w:bottom w:val="none" w:sz="0" w:space="0" w:color="auto"/>
            <w:right w:val="none" w:sz="0" w:space="0" w:color="auto"/>
          </w:divBdr>
        </w:div>
      </w:divsChild>
    </w:div>
    <w:div w:id="37362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m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ffectivehealthcare.ahrq.gov/topics/urinary-incontinence-treatment/research" TargetMode="External"/><Relationship Id="rId2" Type="http://schemas.openxmlformats.org/officeDocument/2006/relationships/customXml" Target="../customXml/item2.xml"/><Relationship Id="rId16" Type="http://schemas.openxmlformats.org/officeDocument/2006/relationships/hyperlink" Target="http://www.neurology.org/content/55/6/754.full.pdf+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ascrs.org/sites/default/files/downloads/publication/clinical_practice_guideline_for_the_treatment_of_fecal_incontinenc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73F0-F4A1-4512-A93F-53064A3CF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D32C2F1-6A78-46D4-BBE5-7501F1F88824}">
  <ds:schemaRefs>
    <ds:schemaRef ds:uri="http://schemas.microsoft.com/sharepoint/v3/contenttype/forms"/>
  </ds:schemaRefs>
</ds:datastoreItem>
</file>

<file path=customXml/itemProps3.xml><?xml version="1.0" encoding="utf-8"?>
<ds:datastoreItem xmlns:ds="http://schemas.openxmlformats.org/officeDocument/2006/customXml" ds:itemID="{5AF6C223-0C5E-498E-A13A-6FD884A7136F}">
  <ds:schemaRef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B39F8B5-CCDD-40C3-84DC-5BD1ECDC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16089</Characters>
  <Application>Microsoft Office Word</Application>
  <DocSecurity>4</DocSecurity>
  <Lines>335</Lines>
  <Paragraphs>144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2</cp:revision>
  <cp:lastPrinted>2019-04-04T16:15:00Z</cp:lastPrinted>
  <dcterms:created xsi:type="dcterms:W3CDTF">2019-05-22T19:40:00Z</dcterms:created>
  <dcterms:modified xsi:type="dcterms:W3CDTF">2019-05-22T19:40:00Z</dcterms:modified>
</cp:coreProperties>
</file>