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7CED8" w14:textId="77777777" w:rsidR="00B777AF" w:rsidRPr="004858A1" w:rsidRDefault="00230FE4" w:rsidP="00D574CA">
      <w:pPr>
        <w:pStyle w:val="PolicyMainHead"/>
        <w:tabs>
          <w:tab w:val="left" w:pos="360"/>
        </w:tabs>
        <w:spacing w:after="0" w:line="240" w:lineRule="auto"/>
        <w:rPr>
          <w:rFonts w:ascii="Times New Roman" w:hAnsi="Times New Roman"/>
          <w:color w:val="00548C"/>
          <w:sz w:val="36"/>
        </w:rPr>
        <w:sectPr w:rsidR="00B777AF" w:rsidRPr="004858A1"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sidR="004858A1">
        <w:rPr>
          <w:rFonts w:ascii="Times New Roman" w:hAnsi="Times New Roman"/>
          <w:color w:val="00548C"/>
          <w:sz w:val="36"/>
        </w:rPr>
        <w:t>Policy: Carrier Screening</w:t>
      </w:r>
      <w:r w:rsidR="00092CA5">
        <w:rPr>
          <w:rFonts w:ascii="Times New Roman" w:hAnsi="Times New Roman"/>
          <w:color w:val="00548C"/>
          <w:sz w:val="36"/>
        </w:rPr>
        <w:t xml:space="preserve"> in Pregnan</w:t>
      </w:r>
      <w:r w:rsidR="002E6023">
        <w:rPr>
          <w:rFonts w:ascii="Times New Roman" w:hAnsi="Times New Roman"/>
          <w:color w:val="00548C"/>
          <w:sz w:val="36"/>
        </w:rPr>
        <w:t>cy</w:t>
      </w:r>
    </w:p>
    <w:p w14:paraId="1037CED9" w14:textId="77777777" w:rsidR="002E6023" w:rsidRPr="003D7BE7" w:rsidRDefault="00D574CA" w:rsidP="009A12C4">
      <w:pPr>
        <w:pStyle w:val="PolicyMainHead"/>
        <w:tabs>
          <w:tab w:val="left" w:pos="360"/>
        </w:tabs>
        <w:spacing w:after="0" w:line="240" w:lineRule="auto"/>
        <w:rPr>
          <w:rFonts w:ascii="Times New Roman" w:hAnsi="Times New Roman"/>
          <w:color w:val="00548C"/>
          <w:sz w:val="24"/>
          <w:szCs w:val="24"/>
        </w:rPr>
        <w:sectPr w:rsidR="002E6023"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0268C4">
        <w:rPr>
          <w:rFonts w:ascii="Times New Roman" w:hAnsi="Times New Roman"/>
          <w:color w:val="00548C"/>
          <w:sz w:val="24"/>
          <w:szCs w:val="24"/>
        </w:rPr>
        <w:t>83</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2E6023">
        <w:rPr>
          <w:rFonts w:ascii="Times New Roman" w:hAnsi="Times New Roman"/>
          <w:color w:val="00548C"/>
          <w:sz w:val="24"/>
          <w:szCs w:val="24"/>
        </w:rPr>
        <w:t xml:space="preserve">  </w:t>
      </w:r>
      <w:hyperlink w:anchor="Coding_Implications" w:history="1">
        <w:r w:rsidR="002E6023" w:rsidRPr="00875924">
          <w:rPr>
            <w:rStyle w:val="Hyperlink"/>
            <w:rFonts w:ascii="Times New Roman" w:hAnsi="Times New Roman"/>
            <w:sz w:val="24"/>
            <w:szCs w:val="24"/>
          </w:rPr>
          <w:t>Coding Implications</w:t>
        </w:r>
      </w:hyperlink>
      <w:r w:rsidR="002E6023" w:rsidRPr="003D7BE7">
        <w:rPr>
          <w:rFonts w:ascii="Times New Roman" w:hAnsi="Times New Roman"/>
          <w:color w:val="00548C"/>
          <w:sz w:val="24"/>
          <w:szCs w:val="24"/>
        </w:rPr>
        <w:t xml:space="preserve"> </w:t>
      </w:r>
    </w:p>
    <w:p w14:paraId="1037CEDA" w14:textId="5EEFD9F3" w:rsidR="002E6023" w:rsidRDefault="002E6023" w:rsidP="002E6023">
      <w:pPr>
        <w:pStyle w:val="PolicyMainHead"/>
        <w:tabs>
          <w:tab w:val="left" w:pos="360"/>
        </w:tabs>
        <w:spacing w:after="0" w:line="240" w:lineRule="auto"/>
        <w:rPr>
          <w:rFonts w:ascii="Times New Roman" w:hAnsi="Times New Roman"/>
          <w:color w:val="00548C"/>
          <w:sz w:val="24"/>
          <w:szCs w:val="24"/>
        </w:rPr>
      </w:pPr>
      <w:r>
        <w:rPr>
          <w:rFonts w:ascii="Times New Roman" w:hAnsi="Times New Roman"/>
          <w:color w:val="00548C"/>
          <w:sz w:val="24"/>
          <w:szCs w:val="24"/>
        </w:rPr>
        <w:t xml:space="preserve">      </w:t>
      </w: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5D1C14">
        <w:rPr>
          <w:rFonts w:ascii="Times New Roman" w:hAnsi="Times New Roman"/>
          <w:color w:val="00548C"/>
          <w:sz w:val="24"/>
          <w:szCs w:val="24"/>
        </w:rPr>
        <w:t>5</w:t>
      </w:r>
      <w:r>
        <w:rPr>
          <w:rFonts w:ascii="Times New Roman" w:hAnsi="Times New Roman"/>
          <w:color w:val="00548C"/>
          <w:sz w:val="24"/>
          <w:szCs w:val="24"/>
        </w:rPr>
        <w:t>/1</w:t>
      </w:r>
      <w:r w:rsidR="00EE5A51">
        <w:rPr>
          <w:rFonts w:ascii="Times New Roman" w:hAnsi="Times New Roman"/>
          <w:color w:val="00548C"/>
          <w:sz w:val="24"/>
          <w:szCs w:val="24"/>
        </w:rPr>
        <w:t>9</w:t>
      </w:r>
    </w:p>
    <w:p w14:paraId="1037CEDB" w14:textId="77777777" w:rsidR="00B777AF" w:rsidRPr="003D7BE7" w:rsidRDefault="002E6023" w:rsidP="002E6023">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t xml:space="preserve">                         </w:t>
      </w:r>
      <w:hyperlink w:anchor="Revision_Log" w:history="1">
        <w:r w:rsidRPr="003D7BE7">
          <w:rPr>
            <w:rStyle w:val="Hyperlink"/>
            <w:rFonts w:ascii="Times New Roman" w:hAnsi="Times New Roman"/>
            <w:sz w:val="24"/>
            <w:szCs w:val="24"/>
          </w:rPr>
          <w:t>Revision Log</w:t>
        </w:r>
      </w:hyperlink>
    </w:p>
    <w:p w14:paraId="1037CEDC" w14:textId="77777777" w:rsidR="009A12C4" w:rsidRDefault="009A12C4" w:rsidP="009A12C4">
      <w:pPr>
        <w:pStyle w:val="NormalWeb"/>
        <w:tabs>
          <w:tab w:val="left" w:pos="975"/>
        </w:tabs>
        <w:spacing w:before="0" w:beforeAutospacing="0" w:after="0" w:afterAutospacing="0"/>
        <w:rPr>
          <w:rFonts w:ascii="Times New Roman" w:hAnsi="Times New Roman" w:cs="Times New Roman"/>
          <w:b/>
          <w:color w:val="00548C"/>
        </w:rPr>
      </w:pPr>
    </w:p>
    <w:p w14:paraId="1037CEDD" w14:textId="77777777" w:rsidR="00D574CA" w:rsidRPr="005D7B81" w:rsidRDefault="005D7B81" w:rsidP="009A12C4">
      <w:pPr>
        <w:pStyle w:val="NormalWeb"/>
        <w:tabs>
          <w:tab w:val="left" w:pos="975"/>
        </w:tabs>
        <w:spacing w:before="0" w:beforeAutospacing="0" w:after="0" w:afterAutospacing="0"/>
        <w:rPr>
          <w:rStyle w:val="Strong"/>
          <w:rFonts w:ascii="Times New Roman" w:hAnsi="Times New Roman" w:cs="Times New Roman"/>
          <w:b w:val="0"/>
          <w:bCs w:val="0"/>
          <w:noProof/>
          <w:color w:val="00548C"/>
          <w:sz w:val="48"/>
          <w:szCs w:val="48"/>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1037CEDE"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1037CEDF" w14:textId="77777777" w:rsidR="00583376" w:rsidRPr="00B777AF" w:rsidRDefault="00583376">
      <w:pPr>
        <w:pStyle w:val="Heading2"/>
        <w:rPr>
          <w:u w:val="none"/>
        </w:rPr>
      </w:pPr>
      <w:r w:rsidRPr="00B777AF">
        <w:rPr>
          <w:u w:val="none"/>
        </w:rPr>
        <w:t xml:space="preserve">Description </w:t>
      </w:r>
    </w:p>
    <w:p w14:paraId="1037CEE0" w14:textId="77777777" w:rsidR="00ED0A0D" w:rsidRDefault="000268C4" w:rsidP="00196935">
      <w:r w:rsidRPr="000268C4">
        <w:t xml:space="preserve">This policy outlines medical necessity criteria for </w:t>
      </w:r>
      <w:r>
        <w:t>cystic fibrosis (</w:t>
      </w:r>
      <w:r w:rsidRPr="000268C4">
        <w:t>CF</w:t>
      </w:r>
      <w:r>
        <w:t>)</w:t>
      </w:r>
      <w:r w:rsidR="00337D9F">
        <w:t xml:space="preserve"> and</w:t>
      </w:r>
      <w:r w:rsidR="00E75C75">
        <w:t xml:space="preserve"> spinal muscular atrophy</w:t>
      </w:r>
      <w:r w:rsidRPr="000268C4">
        <w:t xml:space="preserve"> </w:t>
      </w:r>
      <w:r w:rsidR="00337D9F">
        <w:t xml:space="preserve">(SMA) </w:t>
      </w:r>
      <w:r w:rsidRPr="000268C4">
        <w:t xml:space="preserve">carrier testing.   </w:t>
      </w:r>
    </w:p>
    <w:p w14:paraId="1037CEE1" w14:textId="77777777" w:rsidR="005D7B81" w:rsidRPr="00B777AF" w:rsidRDefault="005D7B81" w:rsidP="00196935"/>
    <w:p w14:paraId="1037CEE2" w14:textId="77777777" w:rsidR="00583376" w:rsidRPr="00B777AF" w:rsidRDefault="00583376">
      <w:pPr>
        <w:pStyle w:val="Heading2"/>
        <w:rPr>
          <w:u w:val="none"/>
        </w:rPr>
      </w:pPr>
      <w:r w:rsidRPr="00B777AF">
        <w:rPr>
          <w:u w:val="none"/>
        </w:rPr>
        <w:t>Policy/Criteria</w:t>
      </w:r>
    </w:p>
    <w:p w14:paraId="1037CEE3" w14:textId="77777777"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0268C4">
        <w:t>CF carrier screening</w:t>
      </w:r>
      <w:r w:rsidR="009D5928">
        <w:t xml:space="preserve"> </w:t>
      </w:r>
      <w:r w:rsidR="000268C4" w:rsidRPr="000268C4">
        <w:rPr>
          <w:bCs/>
        </w:rPr>
        <w:t>(CPT</w:t>
      </w:r>
      <w:r w:rsidR="000268C4" w:rsidRPr="000268C4">
        <w:rPr>
          <w:bCs/>
          <w:vertAlign w:val="superscript"/>
        </w:rPr>
        <w:t>®</w:t>
      </w:r>
      <w:r w:rsidR="000268C4" w:rsidRPr="000268C4">
        <w:rPr>
          <w:bCs/>
        </w:rPr>
        <w:t xml:space="preserve"> code 81220)</w:t>
      </w:r>
      <w:r w:rsidR="00454CFE">
        <w:rPr>
          <w:bCs/>
        </w:rPr>
        <w:t xml:space="preserve"> or SMA carrier screening</w:t>
      </w:r>
      <w:r w:rsidR="005F2A9B">
        <w:rPr>
          <w:bCs/>
        </w:rPr>
        <w:t xml:space="preserve"> (81329</w:t>
      </w:r>
      <w:r w:rsidR="00E832FA">
        <w:rPr>
          <w:bCs/>
        </w:rPr>
        <w:t>)</w:t>
      </w:r>
      <w:r w:rsidR="00C96847">
        <w:t xml:space="preserve"> is </w:t>
      </w:r>
      <w:r w:rsidR="00C96847" w:rsidRPr="005D6347">
        <w:rPr>
          <w:b/>
        </w:rPr>
        <w:t>medically necessary</w:t>
      </w:r>
      <w:r w:rsidR="00C96847">
        <w:t xml:space="preserve"> </w:t>
      </w:r>
      <w:r w:rsidR="009D5928">
        <w:t xml:space="preserve">for </w:t>
      </w:r>
      <w:r w:rsidR="000268C4">
        <w:t>women who are pregnant</w:t>
      </w:r>
      <w:r w:rsidR="00CF25E8">
        <w:t xml:space="preserve"> and meet</w:t>
      </w:r>
      <w:r w:rsidR="000268C4">
        <w:t xml:space="preserve"> the following criteria</w:t>
      </w:r>
      <w:r w:rsidR="00C96847">
        <w:t>:</w:t>
      </w:r>
    </w:p>
    <w:p w14:paraId="1037CEE4" w14:textId="77777777" w:rsidR="000268C4" w:rsidRDefault="000268C4" w:rsidP="003F3D44">
      <w:pPr>
        <w:numPr>
          <w:ilvl w:val="1"/>
          <w:numId w:val="11"/>
        </w:numPr>
        <w:ind w:left="720"/>
      </w:pPr>
      <w:r>
        <w:t xml:space="preserve">No prior CF </w:t>
      </w:r>
      <w:r w:rsidR="009C6257">
        <w:t xml:space="preserve">or SMA </w:t>
      </w:r>
      <w:r>
        <w:t>screening results are available, and</w:t>
      </w:r>
    </w:p>
    <w:p w14:paraId="1037CEE5" w14:textId="75F6A92D" w:rsidR="000268C4" w:rsidRPr="000268C4" w:rsidRDefault="000268C4" w:rsidP="003F3D44">
      <w:pPr>
        <w:numPr>
          <w:ilvl w:val="1"/>
          <w:numId w:val="11"/>
        </w:numPr>
        <w:ind w:left="720"/>
      </w:pPr>
      <w:r>
        <w:t xml:space="preserve">Pregnancy </w:t>
      </w:r>
      <w:r w:rsidR="0055645D">
        <w:t>&lt;</w:t>
      </w:r>
      <w:r w:rsidR="005103CC">
        <w:rPr>
          <w:bCs/>
        </w:rPr>
        <w:t xml:space="preserve"> 2</w:t>
      </w:r>
      <w:r w:rsidR="0055645D">
        <w:rPr>
          <w:bCs/>
        </w:rPr>
        <w:t>3</w:t>
      </w:r>
      <w:r w:rsidRPr="000268C4">
        <w:rPr>
          <w:bCs/>
        </w:rPr>
        <w:t xml:space="preserve"> </w:t>
      </w:r>
      <w:r w:rsidR="007F6953">
        <w:rPr>
          <w:bCs/>
        </w:rPr>
        <w:t>weeks g</w:t>
      </w:r>
      <w:r>
        <w:rPr>
          <w:bCs/>
        </w:rPr>
        <w:t xml:space="preserve">estation, and </w:t>
      </w:r>
    </w:p>
    <w:p w14:paraId="1037CEE6" w14:textId="77777777" w:rsidR="00E75C75" w:rsidRPr="000268C4" w:rsidRDefault="00447C9D" w:rsidP="00A3659D">
      <w:pPr>
        <w:numPr>
          <w:ilvl w:val="1"/>
          <w:numId w:val="11"/>
        </w:numPr>
        <w:ind w:left="720"/>
      </w:pPr>
      <w:r>
        <w:rPr>
          <w:bCs/>
        </w:rPr>
        <w:t>Underwent pretest counseling</w:t>
      </w:r>
      <w:r w:rsidR="000268C4">
        <w:rPr>
          <w:bCs/>
        </w:rPr>
        <w:t>.</w:t>
      </w:r>
    </w:p>
    <w:p w14:paraId="1037CEE7" w14:textId="77777777" w:rsidR="000268C4" w:rsidRPr="000268C4" w:rsidRDefault="000268C4" w:rsidP="000268C4"/>
    <w:p w14:paraId="1037CEE8" w14:textId="77777777" w:rsidR="000268C4" w:rsidRPr="000268C4" w:rsidRDefault="000268C4" w:rsidP="000268C4">
      <w:pPr>
        <w:numPr>
          <w:ilvl w:val="0"/>
          <w:numId w:val="11"/>
        </w:numPr>
        <w:ind w:left="360"/>
        <w:rPr>
          <w:bCs/>
        </w:rPr>
      </w:pPr>
      <w:r>
        <w:rPr>
          <w:bCs/>
        </w:rPr>
        <w:t xml:space="preserve">It is the policy of Centene Corporation that CF </w:t>
      </w:r>
      <w:r w:rsidR="008430AA">
        <w:rPr>
          <w:bCs/>
        </w:rPr>
        <w:t xml:space="preserve">or SMA </w:t>
      </w:r>
      <w:r>
        <w:rPr>
          <w:bCs/>
        </w:rPr>
        <w:t>carrier screening anytime other than during pregnancy and for requests for</w:t>
      </w:r>
      <w:r w:rsidR="00454CFE">
        <w:rPr>
          <w:bCs/>
        </w:rPr>
        <w:t xml:space="preserve"> CF screening</w:t>
      </w:r>
      <w:r w:rsidRPr="000268C4">
        <w:rPr>
          <w:bCs/>
        </w:rPr>
        <w:t xml:space="preserve"> CPT</w:t>
      </w:r>
      <w:r w:rsidRPr="000268C4">
        <w:rPr>
          <w:bCs/>
          <w:vertAlign w:val="superscript"/>
        </w:rPr>
        <w:t>®</w:t>
      </w:r>
      <w:r w:rsidRPr="000268C4">
        <w:rPr>
          <w:bCs/>
        </w:rPr>
        <w:t xml:space="preserve"> codes 81221 – 81224 during pregnancy is </w:t>
      </w:r>
      <w:r w:rsidRPr="000268C4">
        <w:rPr>
          <w:b/>
          <w:bCs/>
        </w:rPr>
        <w:t>medical</w:t>
      </w:r>
      <w:r w:rsidR="000F6CE2">
        <w:rPr>
          <w:b/>
          <w:bCs/>
        </w:rPr>
        <w:t>ly</w:t>
      </w:r>
      <w:r w:rsidRPr="000268C4">
        <w:rPr>
          <w:b/>
          <w:bCs/>
        </w:rPr>
        <w:t xml:space="preserve"> necessary</w:t>
      </w:r>
      <w:r w:rsidRPr="000268C4">
        <w:rPr>
          <w:bCs/>
        </w:rPr>
        <w:t xml:space="preserve"> when meeting the most current version </w:t>
      </w:r>
      <w:r w:rsidR="00D821F9">
        <w:rPr>
          <w:bCs/>
        </w:rPr>
        <w:t xml:space="preserve">of </w:t>
      </w:r>
      <w:r w:rsidRPr="000268C4">
        <w:rPr>
          <w:bCs/>
        </w:rPr>
        <w:t>the relevant nationally recognized decision support tools.</w:t>
      </w:r>
    </w:p>
    <w:p w14:paraId="1037CEE9" w14:textId="77777777" w:rsidR="000268C4" w:rsidRDefault="000268C4" w:rsidP="00532F2A">
      <w:pPr>
        <w:ind w:left="360"/>
      </w:pPr>
    </w:p>
    <w:p w14:paraId="1037CEEA" w14:textId="77777777" w:rsidR="00ED5121" w:rsidRDefault="00ED5121" w:rsidP="00ED5121">
      <w:pPr>
        <w:rPr>
          <w:b/>
          <w:bCs/>
        </w:rPr>
      </w:pPr>
      <w:r>
        <w:rPr>
          <w:b/>
          <w:bCs/>
        </w:rPr>
        <w:t>Authorization Protocols</w:t>
      </w:r>
    </w:p>
    <w:p w14:paraId="1037CEEB" w14:textId="55440FA4" w:rsidR="00ED5121" w:rsidRDefault="00ED5121" w:rsidP="00ED5121">
      <w:pPr>
        <w:autoSpaceDE w:val="0"/>
        <w:autoSpaceDN w:val="0"/>
        <w:adjustRightInd w:val="0"/>
        <w:rPr>
          <w:u w:val="single"/>
        </w:rPr>
      </w:pPr>
      <w:r>
        <w:t xml:space="preserve">Requests for prior authorization will be accepted up to </w:t>
      </w:r>
      <w:r w:rsidR="00392F50">
        <w:t>10</w:t>
      </w:r>
      <w:r>
        <w:t xml:space="preserve"> business days after specimen collection and reviewed for medical necessity based on the above stated criteria.  </w:t>
      </w:r>
    </w:p>
    <w:p w14:paraId="1037CEEC" w14:textId="77777777" w:rsidR="00FB139B" w:rsidRDefault="00FB139B" w:rsidP="003840CC">
      <w:pPr>
        <w:rPr>
          <w:bCs/>
          <w:color w:val="000000"/>
        </w:rPr>
      </w:pPr>
    </w:p>
    <w:p w14:paraId="1037CEED" w14:textId="77777777" w:rsidR="00FB0592" w:rsidRDefault="00FB0592" w:rsidP="00FB0592">
      <w:pPr>
        <w:pStyle w:val="Heading2"/>
        <w:rPr>
          <w:u w:val="none"/>
        </w:rPr>
      </w:pPr>
      <w:r w:rsidRPr="00B777AF">
        <w:rPr>
          <w:u w:val="none"/>
        </w:rPr>
        <w:t>Background</w:t>
      </w:r>
    </w:p>
    <w:p w14:paraId="1037CEEE" w14:textId="77777777" w:rsidR="000268C4" w:rsidRDefault="000268C4" w:rsidP="000268C4">
      <w:pPr>
        <w:rPr>
          <w:bCs/>
        </w:rPr>
      </w:pPr>
      <w:r w:rsidRPr="00532F2A">
        <w:rPr>
          <w:bCs/>
        </w:rPr>
        <w:t xml:space="preserve">CF is a genetic disorder that causes the body to make thick, sticky </w:t>
      </w:r>
      <w:r w:rsidR="004A1870">
        <w:rPr>
          <w:bCs/>
        </w:rPr>
        <w:t>secretions</w:t>
      </w:r>
      <w:r w:rsidR="004A1870" w:rsidRPr="00532F2A">
        <w:rPr>
          <w:bCs/>
        </w:rPr>
        <w:t xml:space="preserve"> </w:t>
      </w:r>
      <w:r w:rsidRPr="00532F2A">
        <w:rPr>
          <w:bCs/>
        </w:rPr>
        <w:t>that clog the lungs and other organs such as</w:t>
      </w:r>
      <w:r w:rsidR="0027711F">
        <w:rPr>
          <w:bCs/>
        </w:rPr>
        <w:t xml:space="preserve"> the </w:t>
      </w:r>
      <w:r w:rsidRPr="00532F2A">
        <w:rPr>
          <w:bCs/>
        </w:rPr>
        <w:t>digestive system.  More than 10 million Americans are carriers of a defective CF gene and s</w:t>
      </w:r>
      <w:r w:rsidR="0027711F">
        <w:rPr>
          <w:bCs/>
        </w:rPr>
        <w:t>how no symptoms of the disease.</w:t>
      </w:r>
      <w:r w:rsidRPr="00532F2A">
        <w:rPr>
          <w:bCs/>
        </w:rPr>
        <w:t xml:space="preserve"> CF is a recessive disorder, therefor</w:t>
      </w:r>
      <w:r w:rsidR="004A1870">
        <w:rPr>
          <w:bCs/>
        </w:rPr>
        <w:t>e,</w:t>
      </w:r>
      <w:r w:rsidRPr="00532F2A">
        <w:rPr>
          <w:bCs/>
        </w:rPr>
        <w:t xml:space="preserve"> an abnormal gene must be inherited from both parents </w:t>
      </w:r>
      <w:r w:rsidR="004A1870">
        <w:rPr>
          <w:bCs/>
        </w:rPr>
        <w:t>in order for</w:t>
      </w:r>
      <w:r w:rsidR="004A1870" w:rsidRPr="00532F2A">
        <w:rPr>
          <w:bCs/>
        </w:rPr>
        <w:t xml:space="preserve"> </w:t>
      </w:r>
      <w:r w:rsidRPr="00532F2A">
        <w:rPr>
          <w:bCs/>
        </w:rPr>
        <w:t xml:space="preserve">the child </w:t>
      </w:r>
      <w:r w:rsidR="004A1870">
        <w:rPr>
          <w:bCs/>
        </w:rPr>
        <w:t>to</w:t>
      </w:r>
      <w:r w:rsidRPr="00532F2A">
        <w:rPr>
          <w:bCs/>
        </w:rPr>
        <w:t xml:space="preserve"> develop</w:t>
      </w:r>
      <w:r w:rsidR="0027711F">
        <w:rPr>
          <w:bCs/>
        </w:rPr>
        <w:t xml:space="preserve"> CF. </w:t>
      </w:r>
      <w:r w:rsidRPr="00532F2A">
        <w:rPr>
          <w:bCs/>
        </w:rPr>
        <w:t xml:space="preserve">Carrier testing </w:t>
      </w:r>
      <w:r w:rsidR="00E45998">
        <w:rPr>
          <w:bCs/>
        </w:rPr>
        <w:t>may</w:t>
      </w:r>
      <w:r w:rsidR="00E45998" w:rsidRPr="00532F2A">
        <w:rPr>
          <w:bCs/>
        </w:rPr>
        <w:t xml:space="preserve"> </w:t>
      </w:r>
      <w:r w:rsidRPr="00532F2A">
        <w:rPr>
          <w:bCs/>
        </w:rPr>
        <w:t xml:space="preserve">provide an early indication </w:t>
      </w:r>
      <w:r w:rsidR="00E45998">
        <w:rPr>
          <w:bCs/>
        </w:rPr>
        <w:t>as to whether</w:t>
      </w:r>
      <w:r w:rsidRPr="00532F2A">
        <w:rPr>
          <w:bCs/>
        </w:rPr>
        <w:t xml:space="preserve"> a fetus </w:t>
      </w:r>
      <w:r w:rsidR="00E45998">
        <w:rPr>
          <w:bCs/>
        </w:rPr>
        <w:t>might either be a carrier or might</w:t>
      </w:r>
      <w:r w:rsidR="00E45998" w:rsidRPr="00532F2A">
        <w:rPr>
          <w:bCs/>
        </w:rPr>
        <w:t xml:space="preserve"> </w:t>
      </w:r>
      <w:r w:rsidRPr="00532F2A">
        <w:rPr>
          <w:bCs/>
        </w:rPr>
        <w:t xml:space="preserve">develop CF.  </w:t>
      </w:r>
    </w:p>
    <w:p w14:paraId="1037CEEF" w14:textId="77777777" w:rsidR="008430AA" w:rsidRDefault="008430AA" w:rsidP="000268C4">
      <w:pPr>
        <w:rPr>
          <w:bCs/>
        </w:rPr>
      </w:pPr>
    </w:p>
    <w:p w14:paraId="1037CEF0" w14:textId="77777777" w:rsidR="008430AA" w:rsidRPr="00532F2A" w:rsidRDefault="008430AA" w:rsidP="000268C4">
      <w:pPr>
        <w:rPr>
          <w:bCs/>
        </w:rPr>
      </w:pPr>
      <w:r>
        <w:rPr>
          <w:bCs/>
        </w:rPr>
        <w:t xml:space="preserve">SMA </w:t>
      </w:r>
      <w:r w:rsidR="005763D6">
        <w:rPr>
          <w:bCs/>
        </w:rPr>
        <w:t>is a</w:t>
      </w:r>
      <w:r w:rsidR="00D954CB">
        <w:rPr>
          <w:bCs/>
        </w:rPr>
        <w:t xml:space="preserve">n autosomal recessive </w:t>
      </w:r>
      <w:r w:rsidR="005763D6">
        <w:rPr>
          <w:bCs/>
        </w:rPr>
        <w:t>disorder that causes degeneration of spinal cord motor neurons</w:t>
      </w:r>
      <w:r w:rsidR="00454CFE">
        <w:rPr>
          <w:bCs/>
        </w:rPr>
        <w:t xml:space="preserve"> which</w:t>
      </w:r>
      <w:r w:rsidR="005763D6">
        <w:rPr>
          <w:bCs/>
        </w:rPr>
        <w:t xml:space="preserve"> leads to atrophy of the skeletal muscles. People with SMA experience overall weakness in the voluntary muscles, as well as trouble breathing and swallowing. </w:t>
      </w:r>
      <w:r w:rsidR="00A02A3F">
        <w:rPr>
          <w:bCs/>
        </w:rPr>
        <w:t xml:space="preserve">Approximately </w:t>
      </w:r>
      <w:r w:rsidR="00197D1B">
        <w:rPr>
          <w:bCs/>
        </w:rPr>
        <w:t>6 million</w:t>
      </w:r>
      <w:r w:rsidR="00D954CB">
        <w:rPr>
          <w:bCs/>
        </w:rPr>
        <w:t xml:space="preserve"> Americans</w:t>
      </w:r>
      <w:r w:rsidR="00A02A3F">
        <w:rPr>
          <w:bCs/>
        </w:rPr>
        <w:t xml:space="preserve"> are carriers for SMA, with 1 in 6,000 to 1 in 10,000 </w:t>
      </w:r>
      <w:r w:rsidR="00D954CB">
        <w:rPr>
          <w:bCs/>
        </w:rPr>
        <w:t>live births being diagnosed with SMA</w:t>
      </w:r>
      <w:r w:rsidR="00A02A3F">
        <w:rPr>
          <w:bCs/>
        </w:rPr>
        <w:t>. SMA is the leading genetic cause of infant mortality.</w:t>
      </w:r>
      <w:r w:rsidR="00D954CB">
        <w:rPr>
          <w:bCs/>
        </w:rPr>
        <w:t xml:space="preserve"> Most cases of SMA result from both parents being carriers, but approximately 2% of cases are the result of a new gene mutation.</w:t>
      </w:r>
    </w:p>
    <w:p w14:paraId="1037CEF1" w14:textId="77777777" w:rsidR="000268C4" w:rsidRPr="00532F2A" w:rsidRDefault="000268C4" w:rsidP="000268C4">
      <w:pPr>
        <w:rPr>
          <w:bCs/>
        </w:rPr>
      </w:pPr>
    </w:p>
    <w:p w14:paraId="1037CEF2" w14:textId="77777777" w:rsidR="000268C4" w:rsidRPr="00532F2A" w:rsidRDefault="00835460" w:rsidP="000268C4">
      <w:pPr>
        <w:rPr>
          <w:bCs/>
        </w:rPr>
      </w:pPr>
      <w:r>
        <w:rPr>
          <w:bCs/>
        </w:rPr>
        <w:t>For either CF or SMA, i</w:t>
      </w:r>
      <w:r w:rsidR="000268C4" w:rsidRPr="00532F2A">
        <w:rPr>
          <w:bCs/>
        </w:rPr>
        <w:t xml:space="preserve">f the maternal screening test is positive, the father of the baby must also be tested to determine </w:t>
      </w:r>
      <w:r w:rsidR="00454CFE">
        <w:rPr>
          <w:bCs/>
        </w:rPr>
        <w:t xml:space="preserve">if </w:t>
      </w:r>
      <w:r w:rsidR="000268C4" w:rsidRPr="00532F2A">
        <w:rPr>
          <w:bCs/>
        </w:rPr>
        <w:t xml:space="preserve">he is a carrier. If negative, no further testing is needed.  If both the mother and father test positive for a defective gene, the </w:t>
      </w:r>
      <w:r w:rsidR="00BF62B5">
        <w:rPr>
          <w:bCs/>
        </w:rPr>
        <w:t>infant</w:t>
      </w:r>
      <w:r w:rsidR="000268C4" w:rsidRPr="00532F2A">
        <w:rPr>
          <w:bCs/>
        </w:rPr>
        <w:t xml:space="preserve"> will most likely be a carrier like the parents</w:t>
      </w:r>
      <w:r w:rsidR="00E45998">
        <w:rPr>
          <w:bCs/>
        </w:rPr>
        <w:t xml:space="preserve"> (50% chance).</w:t>
      </w:r>
      <w:r w:rsidR="000268C4" w:rsidRPr="00532F2A">
        <w:rPr>
          <w:bCs/>
        </w:rPr>
        <w:t xml:space="preserve"> </w:t>
      </w:r>
      <w:r w:rsidR="00E45998">
        <w:rPr>
          <w:bCs/>
        </w:rPr>
        <w:t xml:space="preserve"> H</w:t>
      </w:r>
      <w:r w:rsidR="000268C4" w:rsidRPr="00532F2A">
        <w:rPr>
          <w:bCs/>
        </w:rPr>
        <w:t>owever</w:t>
      </w:r>
      <w:r w:rsidR="00E45998">
        <w:rPr>
          <w:bCs/>
        </w:rPr>
        <w:t>,</w:t>
      </w:r>
      <w:r w:rsidR="000268C4" w:rsidRPr="00532F2A">
        <w:rPr>
          <w:bCs/>
        </w:rPr>
        <w:t xml:space="preserve"> there is a 25% chance </w:t>
      </w:r>
      <w:r w:rsidR="00E45998">
        <w:rPr>
          <w:bCs/>
        </w:rPr>
        <w:t xml:space="preserve">that </w:t>
      </w:r>
      <w:r w:rsidR="000268C4" w:rsidRPr="00532F2A">
        <w:rPr>
          <w:bCs/>
        </w:rPr>
        <w:t xml:space="preserve">the </w:t>
      </w:r>
      <w:r w:rsidR="00BF62B5">
        <w:rPr>
          <w:bCs/>
        </w:rPr>
        <w:t>infant</w:t>
      </w:r>
      <w:r w:rsidR="000268C4" w:rsidRPr="00532F2A">
        <w:rPr>
          <w:bCs/>
        </w:rPr>
        <w:t xml:space="preserve"> will have</w:t>
      </w:r>
      <w:r w:rsidR="008430AA">
        <w:rPr>
          <w:bCs/>
        </w:rPr>
        <w:t xml:space="preserve"> the disease</w:t>
      </w:r>
      <w:r w:rsidR="000268C4" w:rsidRPr="00532F2A">
        <w:rPr>
          <w:bCs/>
        </w:rPr>
        <w:t xml:space="preserve">.  </w:t>
      </w:r>
      <w:r w:rsidR="000268C4" w:rsidRPr="00532F2A">
        <w:rPr>
          <w:bCs/>
        </w:rPr>
        <w:lastRenderedPageBreak/>
        <w:t xml:space="preserve">If both parents are carriers, chorionic villus sampling or amniocentesis can be performed to see </w:t>
      </w:r>
      <w:r w:rsidR="00E45998">
        <w:rPr>
          <w:bCs/>
        </w:rPr>
        <w:t>whether</w:t>
      </w:r>
      <w:r w:rsidR="00E45998" w:rsidRPr="00532F2A">
        <w:rPr>
          <w:bCs/>
        </w:rPr>
        <w:t xml:space="preserve"> </w:t>
      </w:r>
      <w:r w:rsidR="000268C4" w:rsidRPr="00532F2A">
        <w:rPr>
          <w:bCs/>
        </w:rPr>
        <w:t xml:space="preserve">the </w:t>
      </w:r>
      <w:r w:rsidR="00BF62B5">
        <w:rPr>
          <w:bCs/>
        </w:rPr>
        <w:t>fetus</w:t>
      </w:r>
      <w:r w:rsidR="000268C4" w:rsidRPr="00532F2A">
        <w:rPr>
          <w:bCs/>
        </w:rPr>
        <w:t xml:space="preserve"> has </w:t>
      </w:r>
      <w:r w:rsidR="008430AA">
        <w:rPr>
          <w:bCs/>
        </w:rPr>
        <w:t>the disease</w:t>
      </w:r>
      <w:r w:rsidR="000268C4" w:rsidRPr="00532F2A">
        <w:rPr>
          <w:bCs/>
        </w:rPr>
        <w:t xml:space="preserve">.  </w:t>
      </w:r>
      <w:r w:rsidR="00E45998">
        <w:rPr>
          <w:bCs/>
        </w:rPr>
        <w:t>S</w:t>
      </w:r>
      <w:r w:rsidR="000268C4" w:rsidRPr="00532F2A">
        <w:rPr>
          <w:bCs/>
        </w:rPr>
        <w:t>ince these are both invasive procedures</w:t>
      </w:r>
      <w:r w:rsidR="0027711F">
        <w:rPr>
          <w:bCs/>
        </w:rPr>
        <w:t xml:space="preserve"> that</w:t>
      </w:r>
      <w:r w:rsidR="000268C4" w:rsidRPr="00532F2A">
        <w:rPr>
          <w:bCs/>
        </w:rPr>
        <w:t xml:space="preserve"> carry </w:t>
      </w:r>
      <w:r w:rsidR="00E45998">
        <w:rPr>
          <w:bCs/>
        </w:rPr>
        <w:t xml:space="preserve">a </w:t>
      </w:r>
      <w:r w:rsidR="000268C4" w:rsidRPr="00532F2A">
        <w:rPr>
          <w:bCs/>
        </w:rPr>
        <w:t xml:space="preserve">slight risk to the fetus, further testing should only be performed if </w:t>
      </w:r>
      <w:r w:rsidR="00E45998">
        <w:rPr>
          <w:bCs/>
        </w:rPr>
        <w:t xml:space="preserve">and when </w:t>
      </w:r>
      <w:r w:rsidR="000268C4" w:rsidRPr="00532F2A">
        <w:rPr>
          <w:bCs/>
        </w:rPr>
        <w:t xml:space="preserve">the course of the pregnancy will be altered based on results of the testing.  </w:t>
      </w:r>
    </w:p>
    <w:p w14:paraId="1037CEF3" w14:textId="77777777" w:rsidR="009D5928" w:rsidRPr="000465DE" w:rsidRDefault="009D5928">
      <w:pPr>
        <w:rPr>
          <w:b/>
          <w:bCs/>
        </w:rPr>
      </w:pPr>
    </w:p>
    <w:p w14:paraId="1037CEF4" w14:textId="77777777" w:rsidR="00170B14" w:rsidRPr="00B777AF" w:rsidRDefault="00170B14" w:rsidP="00170B14">
      <w:pPr>
        <w:rPr>
          <w:b/>
        </w:rPr>
      </w:pPr>
      <w:bookmarkStart w:id="1" w:name="Coding_Implications"/>
      <w:r w:rsidRPr="00B777AF">
        <w:rPr>
          <w:b/>
        </w:rPr>
        <w:t>Coding Implications</w:t>
      </w:r>
    </w:p>
    <w:bookmarkEnd w:id="1"/>
    <w:p w14:paraId="1037CEF5" w14:textId="2F18E7D6"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EE5A51">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1037CEF6" w14:textId="77777777" w:rsidR="00AF5490" w:rsidRPr="00A85489" w:rsidRDefault="00AF5490" w:rsidP="00AF5490"/>
    <w:tbl>
      <w:tblPr>
        <w:tblStyle w:val="TableGrid"/>
        <w:tblW w:w="5147" w:type="pct"/>
        <w:tblLook w:val="0020" w:firstRow="1" w:lastRow="0" w:firstColumn="0" w:lastColumn="0" w:noHBand="0" w:noVBand="0"/>
      </w:tblPr>
      <w:tblGrid>
        <w:gridCol w:w="977"/>
        <w:gridCol w:w="8648"/>
      </w:tblGrid>
      <w:tr w:rsidR="00B777AF" w:rsidRPr="00B777AF" w14:paraId="1037CEF9" w14:textId="77777777" w:rsidTr="00392F50">
        <w:trPr>
          <w:tblHeader/>
        </w:trPr>
        <w:tc>
          <w:tcPr>
            <w:tcW w:w="977" w:type="dxa"/>
            <w:shd w:val="clear" w:color="auto" w:fill="00548C"/>
          </w:tcPr>
          <w:p w14:paraId="1037CEF7" w14:textId="77777777" w:rsidR="00D36448" w:rsidRPr="00B777AF" w:rsidRDefault="00D36448" w:rsidP="004A187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648" w:type="dxa"/>
            <w:shd w:val="clear" w:color="auto" w:fill="00548C"/>
          </w:tcPr>
          <w:p w14:paraId="1037CEF8" w14:textId="77777777" w:rsidR="00D36448" w:rsidRPr="00B777AF" w:rsidRDefault="00D36448" w:rsidP="004A1870">
            <w:pPr>
              <w:rPr>
                <w:b/>
                <w:bCs/>
                <w:color w:val="FFFFFF" w:themeColor="background1"/>
              </w:rPr>
            </w:pPr>
            <w:r w:rsidRPr="00B777AF">
              <w:rPr>
                <w:b/>
                <w:color w:val="FFFFFF" w:themeColor="background1"/>
              </w:rPr>
              <w:t>Description</w:t>
            </w:r>
          </w:p>
        </w:tc>
      </w:tr>
      <w:tr w:rsidR="00454CFE" w14:paraId="1037CEFC" w14:textId="77777777" w:rsidTr="00392F50">
        <w:tblPrEx>
          <w:tblLook w:val="04A0" w:firstRow="1" w:lastRow="0" w:firstColumn="1" w:lastColumn="0" w:noHBand="0" w:noVBand="1"/>
        </w:tblPrEx>
        <w:tc>
          <w:tcPr>
            <w:tcW w:w="977" w:type="dxa"/>
          </w:tcPr>
          <w:p w14:paraId="1037CEFA" w14:textId="77777777" w:rsidR="00454CFE" w:rsidRDefault="00454CFE" w:rsidP="00D4614A">
            <w:pPr>
              <w:rPr>
                <w:bCs/>
              </w:rPr>
            </w:pPr>
            <w:r>
              <w:rPr>
                <w:bCs/>
              </w:rPr>
              <w:t>81220</w:t>
            </w:r>
          </w:p>
        </w:tc>
        <w:tc>
          <w:tcPr>
            <w:tcW w:w="8648" w:type="dxa"/>
          </w:tcPr>
          <w:p w14:paraId="1037CEFB" w14:textId="77777777" w:rsidR="00454CFE" w:rsidRDefault="00454CFE" w:rsidP="00454CFE">
            <w:pPr>
              <w:rPr>
                <w:bCs/>
              </w:rPr>
            </w:pPr>
            <w:r>
              <w:rPr>
                <w:bCs/>
              </w:rPr>
              <w:t>CFTR (cystic fibrosis transmembrane conductance regulator (eg. Cystic fibrosis) gene analysis; common variants (eg. ACMG/ACOG guidelines)</w:t>
            </w:r>
          </w:p>
        </w:tc>
      </w:tr>
      <w:tr w:rsidR="00454CFE" w14:paraId="1037CEFF" w14:textId="77777777" w:rsidTr="00392F50">
        <w:tblPrEx>
          <w:tblLook w:val="04A0" w:firstRow="1" w:lastRow="0" w:firstColumn="1" w:lastColumn="0" w:noHBand="0" w:noVBand="1"/>
        </w:tblPrEx>
        <w:tc>
          <w:tcPr>
            <w:tcW w:w="977" w:type="dxa"/>
          </w:tcPr>
          <w:p w14:paraId="1037CEFD" w14:textId="77777777" w:rsidR="00454CFE" w:rsidRDefault="00454CFE" w:rsidP="00454CFE">
            <w:pPr>
              <w:jc w:val="right"/>
              <w:rPr>
                <w:bCs/>
              </w:rPr>
            </w:pPr>
            <w:r>
              <w:rPr>
                <w:bCs/>
              </w:rPr>
              <w:t>81221</w:t>
            </w:r>
          </w:p>
        </w:tc>
        <w:tc>
          <w:tcPr>
            <w:tcW w:w="8648" w:type="dxa"/>
          </w:tcPr>
          <w:p w14:paraId="1037CEFE" w14:textId="77777777" w:rsidR="00454CFE" w:rsidRDefault="00454CFE" w:rsidP="00454CFE">
            <w:pPr>
              <w:rPr>
                <w:bCs/>
              </w:rPr>
            </w:pPr>
            <w:r>
              <w:rPr>
                <w:bCs/>
              </w:rPr>
              <w:t xml:space="preserve">     known family variants</w:t>
            </w:r>
          </w:p>
        </w:tc>
      </w:tr>
      <w:tr w:rsidR="00454CFE" w14:paraId="1037CF02" w14:textId="77777777" w:rsidTr="00392F50">
        <w:tblPrEx>
          <w:tblLook w:val="04A0" w:firstRow="1" w:lastRow="0" w:firstColumn="1" w:lastColumn="0" w:noHBand="0" w:noVBand="1"/>
        </w:tblPrEx>
        <w:tc>
          <w:tcPr>
            <w:tcW w:w="977" w:type="dxa"/>
          </w:tcPr>
          <w:p w14:paraId="1037CF00" w14:textId="77777777" w:rsidR="00454CFE" w:rsidRDefault="00454CFE" w:rsidP="00454CFE">
            <w:pPr>
              <w:jc w:val="right"/>
              <w:rPr>
                <w:bCs/>
              </w:rPr>
            </w:pPr>
            <w:r>
              <w:rPr>
                <w:bCs/>
              </w:rPr>
              <w:t>81222</w:t>
            </w:r>
          </w:p>
        </w:tc>
        <w:tc>
          <w:tcPr>
            <w:tcW w:w="8648" w:type="dxa"/>
          </w:tcPr>
          <w:p w14:paraId="1037CF01" w14:textId="77777777" w:rsidR="00454CFE" w:rsidRDefault="00454CFE" w:rsidP="00454CFE">
            <w:pPr>
              <w:rPr>
                <w:bCs/>
              </w:rPr>
            </w:pPr>
            <w:r>
              <w:rPr>
                <w:bCs/>
              </w:rPr>
              <w:t xml:space="preserve">     Duplication/deletion variants</w:t>
            </w:r>
          </w:p>
        </w:tc>
      </w:tr>
      <w:tr w:rsidR="00454CFE" w14:paraId="1037CF05" w14:textId="77777777" w:rsidTr="00392F50">
        <w:tblPrEx>
          <w:tblLook w:val="04A0" w:firstRow="1" w:lastRow="0" w:firstColumn="1" w:lastColumn="0" w:noHBand="0" w:noVBand="1"/>
        </w:tblPrEx>
        <w:tc>
          <w:tcPr>
            <w:tcW w:w="977" w:type="dxa"/>
          </w:tcPr>
          <w:p w14:paraId="1037CF03" w14:textId="77777777" w:rsidR="00454CFE" w:rsidRDefault="00454CFE" w:rsidP="00454CFE">
            <w:pPr>
              <w:jc w:val="right"/>
              <w:rPr>
                <w:bCs/>
              </w:rPr>
            </w:pPr>
            <w:r>
              <w:rPr>
                <w:bCs/>
              </w:rPr>
              <w:t>81223</w:t>
            </w:r>
          </w:p>
        </w:tc>
        <w:tc>
          <w:tcPr>
            <w:tcW w:w="8648" w:type="dxa"/>
          </w:tcPr>
          <w:p w14:paraId="1037CF04" w14:textId="77777777" w:rsidR="00454CFE" w:rsidRDefault="00454CFE" w:rsidP="00454CFE">
            <w:pPr>
              <w:rPr>
                <w:bCs/>
              </w:rPr>
            </w:pPr>
            <w:r>
              <w:rPr>
                <w:bCs/>
              </w:rPr>
              <w:t xml:space="preserve">     Full gene sequence</w:t>
            </w:r>
          </w:p>
        </w:tc>
      </w:tr>
      <w:tr w:rsidR="00454CFE" w14:paraId="1037CF08" w14:textId="77777777" w:rsidTr="00392F50">
        <w:tblPrEx>
          <w:tblLook w:val="04A0" w:firstRow="1" w:lastRow="0" w:firstColumn="1" w:lastColumn="0" w:noHBand="0" w:noVBand="1"/>
        </w:tblPrEx>
        <w:tc>
          <w:tcPr>
            <w:tcW w:w="977" w:type="dxa"/>
          </w:tcPr>
          <w:p w14:paraId="1037CF06" w14:textId="77777777" w:rsidR="00454CFE" w:rsidRDefault="00454CFE" w:rsidP="00454CFE">
            <w:pPr>
              <w:jc w:val="right"/>
              <w:rPr>
                <w:bCs/>
              </w:rPr>
            </w:pPr>
            <w:r>
              <w:rPr>
                <w:bCs/>
              </w:rPr>
              <w:t>81224</w:t>
            </w:r>
          </w:p>
        </w:tc>
        <w:tc>
          <w:tcPr>
            <w:tcW w:w="8648" w:type="dxa"/>
          </w:tcPr>
          <w:p w14:paraId="1037CF07" w14:textId="77777777" w:rsidR="00454CFE" w:rsidRDefault="00454CFE" w:rsidP="00454CFE">
            <w:pPr>
              <w:rPr>
                <w:bCs/>
              </w:rPr>
            </w:pPr>
            <w:r>
              <w:rPr>
                <w:bCs/>
              </w:rPr>
              <w:t xml:space="preserve">     Intron 8 poly-T analysis (eg, male infertility)</w:t>
            </w:r>
          </w:p>
        </w:tc>
      </w:tr>
      <w:tr w:rsidR="00CF25E8" w:rsidRPr="005144C0" w14:paraId="1037CF0B" w14:textId="77777777" w:rsidTr="00392F50">
        <w:tblPrEx>
          <w:tblLook w:val="04A0" w:firstRow="1" w:lastRow="0" w:firstColumn="1" w:lastColumn="0" w:noHBand="0" w:noVBand="1"/>
        </w:tblPrEx>
        <w:tc>
          <w:tcPr>
            <w:tcW w:w="977" w:type="dxa"/>
          </w:tcPr>
          <w:p w14:paraId="1037CF09" w14:textId="77777777" w:rsidR="00CF25E8" w:rsidRPr="005144C0" w:rsidRDefault="005F2A9B" w:rsidP="008039BC">
            <w:pPr>
              <w:rPr>
                <w:bCs/>
              </w:rPr>
            </w:pPr>
            <w:r>
              <w:rPr>
                <w:bCs/>
              </w:rPr>
              <w:t>81329</w:t>
            </w:r>
          </w:p>
        </w:tc>
        <w:tc>
          <w:tcPr>
            <w:tcW w:w="8648" w:type="dxa"/>
          </w:tcPr>
          <w:p w14:paraId="1037CF0A" w14:textId="77777777" w:rsidR="00CF25E8" w:rsidRPr="005144C0" w:rsidRDefault="005F2A9B" w:rsidP="008039BC">
            <w:pPr>
              <w:rPr>
                <w:bCs/>
              </w:rPr>
            </w:pPr>
            <w:r w:rsidRPr="005F2A9B">
              <w:rPr>
                <w:bCs/>
              </w:rPr>
              <w:t>SMN1 (survival of motor neuron 1, telomeric) (eg, spinal muscular atrophy) gene analysis; dosage/deletion analysis (eg, carrier testing), includes SMN2 (survival of motor neuron 2, centromeric) analysis, if performed</w:t>
            </w:r>
          </w:p>
        </w:tc>
      </w:tr>
    </w:tbl>
    <w:p w14:paraId="1037CF0C" w14:textId="77777777" w:rsidR="00350F22" w:rsidRDefault="00350F22" w:rsidP="00AF5490"/>
    <w:tbl>
      <w:tblPr>
        <w:tblStyle w:val="LightList-Accent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578"/>
        <w:gridCol w:w="782"/>
        <w:gridCol w:w="1288"/>
      </w:tblGrid>
      <w:tr w:rsidR="00B777AF" w:rsidRPr="00B777AF" w14:paraId="1037CF10" w14:textId="77777777" w:rsidTr="00F6450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right w:val="none" w:sz="0" w:space="0" w:color="auto"/>
            </w:tcBorders>
            <w:shd w:val="clear" w:color="auto" w:fill="00548C"/>
          </w:tcPr>
          <w:p w14:paraId="1037CF0D" w14:textId="77777777"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782" w:type="dxa"/>
            <w:shd w:val="clear" w:color="auto" w:fill="00548C"/>
          </w:tcPr>
          <w:p w14:paraId="1037CF0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none" w:sz="0" w:space="0" w:color="auto"/>
              <w:right w:val="none" w:sz="0" w:space="0" w:color="auto"/>
            </w:tcBorders>
            <w:shd w:val="clear" w:color="auto" w:fill="00548C"/>
          </w:tcPr>
          <w:p w14:paraId="1037CF0F"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0243B2" w14:paraId="1037CF14" w14:textId="77777777" w:rsidTr="00F645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037CF11" w14:textId="77777777" w:rsidR="000243B2" w:rsidRPr="00F64504" w:rsidRDefault="000243B2" w:rsidP="004A1870">
            <w:pPr>
              <w:tabs>
                <w:tab w:val="num" w:pos="720"/>
              </w:tabs>
            </w:pPr>
            <w:r>
              <w:t>Initial approval date</w:t>
            </w:r>
          </w:p>
        </w:tc>
        <w:tc>
          <w:tcPr>
            <w:tcW w:w="782" w:type="dxa"/>
          </w:tcPr>
          <w:p w14:paraId="1037CF12" w14:textId="77777777" w:rsidR="000243B2" w:rsidRDefault="000243B2" w:rsidP="005776FD">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88" w:type="dxa"/>
          </w:tcPr>
          <w:p w14:paraId="1037CF13" w14:textId="77777777" w:rsidR="000243B2" w:rsidRDefault="000243B2" w:rsidP="00857C10">
            <w:pPr>
              <w:jc w:val="center"/>
            </w:pPr>
            <w:r>
              <w:t>07/13</w:t>
            </w:r>
          </w:p>
        </w:tc>
      </w:tr>
      <w:tr w:rsidR="00F64504" w14:paraId="1037CF20" w14:textId="77777777" w:rsidTr="00F64504">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tcPr>
          <w:p w14:paraId="1037CF1D" w14:textId="77777777" w:rsidR="00F64504" w:rsidRPr="00F64504" w:rsidRDefault="00F64504" w:rsidP="00F26C70">
            <w:pPr>
              <w:tabs>
                <w:tab w:val="num" w:pos="720"/>
              </w:tabs>
            </w:pPr>
            <w:r>
              <w:t xml:space="preserve">References </w:t>
            </w:r>
            <w:r w:rsidR="00F26C70">
              <w:t>r</w:t>
            </w:r>
            <w:r>
              <w:t>eviewed</w:t>
            </w:r>
          </w:p>
        </w:tc>
        <w:tc>
          <w:tcPr>
            <w:tcW w:w="782" w:type="dxa"/>
          </w:tcPr>
          <w:p w14:paraId="1037CF1E" w14:textId="77777777" w:rsidR="00F64504" w:rsidRDefault="00F64504" w:rsidP="005776FD">
            <w:pPr>
              <w:jc w:val="center"/>
              <w:cnfStyle w:val="000000000000" w:firstRow="0" w:lastRow="0" w:firstColumn="0" w:lastColumn="0" w:oddVBand="0" w:evenVBand="0" w:oddHBand="0" w:evenHBand="0" w:firstRowFirstColumn="0" w:firstRowLastColumn="0" w:lastRowFirstColumn="0" w:lastRowLastColumn="0"/>
            </w:pPr>
            <w:r>
              <w:t>07/15</w:t>
            </w:r>
          </w:p>
        </w:tc>
        <w:tc>
          <w:tcPr>
            <w:cnfStyle w:val="000010000000" w:firstRow="0" w:lastRow="0" w:firstColumn="0" w:lastColumn="0" w:oddVBand="1" w:evenVBand="0" w:oddHBand="0" w:evenHBand="0" w:firstRowFirstColumn="0" w:firstRowLastColumn="0" w:lastRowFirstColumn="0" w:lastRowLastColumn="0"/>
            <w:tcW w:w="1288" w:type="dxa"/>
            <w:tcBorders>
              <w:left w:val="none" w:sz="0" w:space="0" w:color="auto"/>
              <w:right w:val="none" w:sz="0" w:space="0" w:color="auto"/>
            </w:tcBorders>
          </w:tcPr>
          <w:p w14:paraId="1037CF1F" w14:textId="77777777" w:rsidR="00F64504" w:rsidRDefault="00F64504" w:rsidP="00857C10">
            <w:pPr>
              <w:jc w:val="center"/>
            </w:pPr>
            <w:r>
              <w:t>07/15</w:t>
            </w:r>
          </w:p>
        </w:tc>
      </w:tr>
      <w:tr w:rsidR="00F64504" w14:paraId="1037CF24" w14:textId="77777777" w:rsidTr="00F645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tcPr>
          <w:p w14:paraId="1037CF21" w14:textId="77777777" w:rsidR="00295D1E" w:rsidRPr="00F64504" w:rsidRDefault="008129D8" w:rsidP="004A1870">
            <w:pPr>
              <w:tabs>
                <w:tab w:val="num" w:pos="720"/>
              </w:tabs>
            </w:pPr>
            <w:r>
              <w:t xml:space="preserve">References </w:t>
            </w:r>
            <w:r w:rsidR="00F26C70">
              <w:t>r</w:t>
            </w:r>
            <w:r>
              <w:t>eviewed</w:t>
            </w:r>
            <w:r w:rsidR="00A360D0">
              <w:t xml:space="preserve"> and updated</w:t>
            </w:r>
            <w:r w:rsidR="00A0148C">
              <w:t>. Minor wording changes made to background.</w:t>
            </w:r>
          </w:p>
        </w:tc>
        <w:tc>
          <w:tcPr>
            <w:tcW w:w="782" w:type="dxa"/>
          </w:tcPr>
          <w:p w14:paraId="1037CF22" w14:textId="77777777" w:rsidR="00F64504" w:rsidRDefault="008129D8" w:rsidP="005776FD">
            <w:pPr>
              <w:jc w:val="center"/>
              <w:cnfStyle w:val="000000100000" w:firstRow="0" w:lastRow="0" w:firstColumn="0" w:lastColumn="0" w:oddVBand="0" w:evenVBand="0" w:oddHBand="1" w:evenHBand="0" w:firstRowFirstColumn="0" w:firstRowLastColumn="0" w:lastRowFirstColumn="0" w:lastRowLastColumn="0"/>
            </w:pPr>
            <w:r>
              <w:t>07/16</w:t>
            </w:r>
          </w:p>
        </w:tc>
        <w:tc>
          <w:tcPr>
            <w:cnfStyle w:val="000010000000" w:firstRow="0" w:lastRow="0" w:firstColumn="0" w:lastColumn="0" w:oddVBand="1" w:evenVBand="0" w:oddHBand="0" w:evenHBand="0" w:firstRowFirstColumn="0" w:firstRowLastColumn="0" w:lastRowFirstColumn="0" w:lastRowLastColumn="0"/>
            <w:tcW w:w="1288" w:type="dxa"/>
            <w:tcBorders>
              <w:left w:val="none" w:sz="0" w:space="0" w:color="auto"/>
              <w:right w:val="none" w:sz="0" w:space="0" w:color="auto"/>
            </w:tcBorders>
          </w:tcPr>
          <w:p w14:paraId="1037CF23" w14:textId="77777777" w:rsidR="00F64504" w:rsidRDefault="008129D8" w:rsidP="00857C10">
            <w:pPr>
              <w:jc w:val="center"/>
            </w:pPr>
            <w:r>
              <w:t>07/16</w:t>
            </w:r>
          </w:p>
        </w:tc>
      </w:tr>
      <w:tr w:rsidR="00BA4837" w14:paraId="1037CF29" w14:textId="77777777" w:rsidTr="00F64504">
        <w:tc>
          <w:tcPr>
            <w:cnfStyle w:val="000010000000" w:firstRow="0" w:lastRow="0" w:firstColumn="0" w:lastColumn="0" w:oddVBand="1" w:evenVBand="0" w:oddHBand="0" w:evenHBand="0" w:firstRowFirstColumn="0" w:firstRowLastColumn="0" w:lastRowFirstColumn="0" w:lastRowLastColumn="0"/>
            <w:tcW w:w="7578" w:type="dxa"/>
          </w:tcPr>
          <w:p w14:paraId="1037CF25" w14:textId="77777777" w:rsidR="00BA4837" w:rsidRDefault="00BA4837" w:rsidP="004A1870">
            <w:pPr>
              <w:tabs>
                <w:tab w:val="num" w:pos="720"/>
              </w:tabs>
            </w:pPr>
            <w:r>
              <w:t xml:space="preserve">Removed requirement for </w:t>
            </w:r>
            <w:r w:rsidR="007E2E1C">
              <w:t>biological father</w:t>
            </w:r>
            <w:r>
              <w:t xml:space="preserve"> to be available for testing</w:t>
            </w:r>
            <w:r w:rsidR="000D71CF">
              <w:t>.</w:t>
            </w:r>
          </w:p>
          <w:p w14:paraId="1037CF26" w14:textId="77777777" w:rsidR="00C020A3" w:rsidRDefault="00C020A3" w:rsidP="004A1870">
            <w:pPr>
              <w:tabs>
                <w:tab w:val="num" w:pos="720"/>
              </w:tabs>
            </w:pPr>
            <w:r>
              <w:t>Added 5 day allowance for authorization</w:t>
            </w:r>
            <w:r w:rsidR="000D71CF">
              <w:t>.</w:t>
            </w:r>
          </w:p>
        </w:tc>
        <w:tc>
          <w:tcPr>
            <w:tcW w:w="782" w:type="dxa"/>
          </w:tcPr>
          <w:p w14:paraId="1037CF27" w14:textId="77777777" w:rsidR="00BA4837" w:rsidRDefault="00BA4837" w:rsidP="005776FD">
            <w:pPr>
              <w:jc w:val="center"/>
              <w:cnfStyle w:val="000000000000" w:firstRow="0" w:lastRow="0" w:firstColumn="0" w:lastColumn="0" w:oddVBand="0" w:evenVBand="0" w:oddHBand="0" w:evenHBand="0" w:firstRowFirstColumn="0" w:firstRowLastColumn="0" w:lastRowFirstColumn="0" w:lastRowLastColumn="0"/>
            </w:pPr>
            <w:r>
              <w:t>10/16</w:t>
            </w:r>
          </w:p>
        </w:tc>
        <w:tc>
          <w:tcPr>
            <w:cnfStyle w:val="000010000000" w:firstRow="0" w:lastRow="0" w:firstColumn="0" w:lastColumn="0" w:oddVBand="1" w:evenVBand="0" w:oddHBand="0" w:evenHBand="0" w:firstRowFirstColumn="0" w:firstRowLastColumn="0" w:lastRowFirstColumn="0" w:lastRowLastColumn="0"/>
            <w:tcW w:w="1288" w:type="dxa"/>
          </w:tcPr>
          <w:p w14:paraId="1037CF28" w14:textId="77777777" w:rsidR="00BA4837" w:rsidRDefault="00510F7E" w:rsidP="00857C10">
            <w:pPr>
              <w:jc w:val="center"/>
            </w:pPr>
            <w:r>
              <w:t>10/16</w:t>
            </w:r>
          </w:p>
        </w:tc>
      </w:tr>
      <w:tr w:rsidR="00092CA5" w14:paraId="1037CF2D" w14:textId="77777777" w:rsidTr="00454CFE">
        <w:trPr>
          <w:cnfStyle w:val="000000100000" w:firstRow="0" w:lastRow="0" w:firstColumn="0" w:lastColumn="0" w:oddVBand="0" w:evenVBand="0" w:oddHBand="1" w:evenHBand="0" w:firstRowFirstColumn="0" w:firstRowLastColumn="0" w:lastRowFirstColumn="0" w:lastRowLastColumn="0"/>
          <w:trHeight w:val="610"/>
        </w:trPr>
        <w:tc>
          <w:tcPr>
            <w:cnfStyle w:val="000010000000" w:firstRow="0" w:lastRow="0" w:firstColumn="0" w:lastColumn="0" w:oddVBand="1" w:evenVBand="0" w:oddHBand="0" w:evenHBand="0" w:firstRowFirstColumn="0" w:firstRowLastColumn="0" w:lastRowFirstColumn="0" w:lastRowLastColumn="0"/>
            <w:tcW w:w="7578" w:type="dxa"/>
          </w:tcPr>
          <w:p w14:paraId="1037CF2A" w14:textId="77777777" w:rsidR="00092CA5" w:rsidRDefault="00092CA5" w:rsidP="00321A18">
            <w:pPr>
              <w:tabs>
                <w:tab w:val="num" w:pos="720"/>
              </w:tabs>
            </w:pPr>
            <w:r>
              <w:t>Changed title to reflect content change</w:t>
            </w:r>
            <w:r w:rsidR="00197D1B">
              <w:t xml:space="preserve">. </w:t>
            </w:r>
            <w:r w:rsidR="00321A18">
              <w:t>Added criteria and background information for</w:t>
            </w:r>
            <w:r w:rsidR="00197D1B">
              <w:t xml:space="preserve"> carrier screening for </w:t>
            </w:r>
            <w:r w:rsidR="00321A18">
              <w:t>SMA</w:t>
            </w:r>
            <w:r w:rsidR="00197D1B">
              <w:t xml:space="preserve">. </w:t>
            </w:r>
          </w:p>
        </w:tc>
        <w:tc>
          <w:tcPr>
            <w:tcW w:w="782" w:type="dxa"/>
          </w:tcPr>
          <w:p w14:paraId="1037CF2B" w14:textId="77777777" w:rsidR="00092CA5" w:rsidRDefault="00092CA5" w:rsidP="005776FD">
            <w:pPr>
              <w:jc w:val="center"/>
              <w:cnfStyle w:val="000000100000" w:firstRow="0" w:lastRow="0" w:firstColumn="0" w:lastColumn="0" w:oddVBand="0" w:evenVBand="0" w:oddHBand="1" w:evenHBand="0" w:firstRowFirstColumn="0" w:firstRowLastColumn="0" w:lastRowFirstColumn="0" w:lastRowLastColumn="0"/>
            </w:pPr>
            <w:r>
              <w:t>07/17</w:t>
            </w:r>
          </w:p>
        </w:tc>
        <w:tc>
          <w:tcPr>
            <w:cnfStyle w:val="000010000000" w:firstRow="0" w:lastRow="0" w:firstColumn="0" w:lastColumn="0" w:oddVBand="1" w:evenVBand="0" w:oddHBand="0" w:evenHBand="0" w:firstRowFirstColumn="0" w:firstRowLastColumn="0" w:lastRowFirstColumn="0" w:lastRowLastColumn="0"/>
            <w:tcW w:w="1288" w:type="dxa"/>
          </w:tcPr>
          <w:p w14:paraId="1037CF2C" w14:textId="77777777" w:rsidR="00092CA5" w:rsidRDefault="00321A18" w:rsidP="00857C10">
            <w:pPr>
              <w:jc w:val="center"/>
            </w:pPr>
            <w:r>
              <w:t>07/17</w:t>
            </w:r>
          </w:p>
        </w:tc>
      </w:tr>
      <w:tr w:rsidR="00977FBF" w14:paraId="1037CF31" w14:textId="77777777" w:rsidTr="009A12C4">
        <w:trPr>
          <w:trHeight w:val="322"/>
        </w:trPr>
        <w:tc>
          <w:tcPr>
            <w:cnfStyle w:val="000010000000" w:firstRow="0" w:lastRow="0" w:firstColumn="0" w:lastColumn="0" w:oddVBand="1" w:evenVBand="0" w:oddHBand="0" w:evenHBand="0" w:firstRowFirstColumn="0" w:firstRowLastColumn="0" w:lastRowFirstColumn="0" w:lastRowLastColumn="0"/>
            <w:tcW w:w="7578" w:type="dxa"/>
          </w:tcPr>
          <w:p w14:paraId="1037CF2E" w14:textId="77777777" w:rsidR="00977FBF" w:rsidRDefault="00446079" w:rsidP="00321A18">
            <w:pPr>
              <w:tabs>
                <w:tab w:val="num" w:pos="720"/>
              </w:tabs>
            </w:pPr>
            <w:r>
              <w:t>References reviewed</w:t>
            </w:r>
          </w:p>
        </w:tc>
        <w:tc>
          <w:tcPr>
            <w:tcW w:w="782" w:type="dxa"/>
          </w:tcPr>
          <w:p w14:paraId="1037CF2F" w14:textId="77777777" w:rsidR="00977FBF" w:rsidRDefault="00446079" w:rsidP="005776FD">
            <w:pPr>
              <w:jc w:val="center"/>
              <w:cnfStyle w:val="000000000000" w:firstRow="0" w:lastRow="0" w:firstColumn="0" w:lastColumn="0" w:oddVBand="0" w:evenVBand="0" w:oddHBand="0" w:evenHBand="0" w:firstRowFirstColumn="0" w:firstRowLastColumn="0" w:lastRowFirstColumn="0" w:lastRowLastColumn="0"/>
            </w:pPr>
            <w:r>
              <w:t>05/18</w:t>
            </w:r>
          </w:p>
        </w:tc>
        <w:tc>
          <w:tcPr>
            <w:cnfStyle w:val="000010000000" w:firstRow="0" w:lastRow="0" w:firstColumn="0" w:lastColumn="0" w:oddVBand="1" w:evenVBand="0" w:oddHBand="0" w:evenHBand="0" w:firstRowFirstColumn="0" w:firstRowLastColumn="0" w:lastRowFirstColumn="0" w:lastRowLastColumn="0"/>
            <w:tcW w:w="1288" w:type="dxa"/>
          </w:tcPr>
          <w:p w14:paraId="1037CF30" w14:textId="77777777" w:rsidR="00977FBF" w:rsidRDefault="004A7F8D" w:rsidP="00857C10">
            <w:pPr>
              <w:jc w:val="center"/>
            </w:pPr>
            <w:r>
              <w:t>05/18</w:t>
            </w:r>
          </w:p>
        </w:tc>
      </w:tr>
      <w:tr w:rsidR="005F2A9B" w14:paraId="1037CF35" w14:textId="77777777" w:rsidTr="009A12C4">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7578" w:type="dxa"/>
          </w:tcPr>
          <w:p w14:paraId="1037CF32" w14:textId="77777777" w:rsidR="005F2A9B" w:rsidRDefault="005F2A9B" w:rsidP="00321A18">
            <w:pPr>
              <w:tabs>
                <w:tab w:val="num" w:pos="720"/>
              </w:tabs>
            </w:pPr>
            <w:r>
              <w:t>Replaced 81401 generic molecular path code with 81329, the new 2019 code for SMA carrier screening</w:t>
            </w:r>
          </w:p>
        </w:tc>
        <w:tc>
          <w:tcPr>
            <w:tcW w:w="782" w:type="dxa"/>
          </w:tcPr>
          <w:p w14:paraId="1037CF33" w14:textId="77777777" w:rsidR="005F2A9B" w:rsidRDefault="005F2A9B" w:rsidP="005776FD">
            <w:pPr>
              <w:jc w:val="center"/>
              <w:cnfStyle w:val="000000100000" w:firstRow="0" w:lastRow="0" w:firstColumn="0" w:lastColumn="0" w:oddVBand="0" w:evenVBand="0" w:oddHBand="1" w:evenHBand="0" w:firstRowFirstColumn="0" w:firstRowLastColumn="0" w:lastRowFirstColumn="0" w:lastRowLastColumn="0"/>
            </w:pPr>
            <w:r>
              <w:t>01/19</w:t>
            </w:r>
          </w:p>
        </w:tc>
        <w:tc>
          <w:tcPr>
            <w:cnfStyle w:val="000010000000" w:firstRow="0" w:lastRow="0" w:firstColumn="0" w:lastColumn="0" w:oddVBand="1" w:evenVBand="0" w:oddHBand="0" w:evenHBand="0" w:firstRowFirstColumn="0" w:firstRowLastColumn="0" w:lastRowFirstColumn="0" w:lastRowLastColumn="0"/>
            <w:tcW w:w="1288" w:type="dxa"/>
          </w:tcPr>
          <w:p w14:paraId="1037CF34" w14:textId="77777777" w:rsidR="005F2A9B" w:rsidRDefault="005F2A9B" w:rsidP="00857C10">
            <w:pPr>
              <w:jc w:val="center"/>
            </w:pPr>
          </w:p>
        </w:tc>
      </w:tr>
      <w:tr w:rsidR="00825E8D" w14:paraId="52EFE2DC" w14:textId="77777777" w:rsidTr="009A12C4">
        <w:trPr>
          <w:trHeight w:val="322"/>
        </w:trPr>
        <w:tc>
          <w:tcPr>
            <w:cnfStyle w:val="000010000000" w:firstRow="0" w:lastRow="0" w:firstColumn="0" w:lastColumn="0" w:oddVBand="1" w:evenVBand="0" w:oddHBand="0" w:evenHBand="0" w:firstRowFirstColumn="0" w:firstRowLastColumn="0" w:lastRowFirstColumn="0" w:lastRowLastColumn="0"/>
            <w:tcW w:w="7578" w:type="dxa"/>
          </w:tcPr>
          <w:p w14:paraId="0685F94C" w14:textId="1F9BB3D5" w:rsidR="00825E8D" w:rsidRDefault="001D6CA1" w:rsidP="0055645D">
            <w:pPr>
              <w:tabs>
                <w:tab w:val="num" w:pos="720"/>
              </w:tabs>
            </w:pPr>
            <w:r>
              <w:t xml:space="preserve">Updated authorization protocol to allow for 10 business days retro review instead of 5. </w:t>
            </w:r>
            <w:r w:rsidR="0055645D">
              <w:t xml:space="preserve">For clarification, revised I.B to state Pregnancy &lt; 23 weeks gestation rather than </w:t>
            </w:r>
            <w:r w:rsidR="0055645D" w:rsidRPr="0055645D">
              <w:rPr>
                <w:u w:val="single"/>
              </w:rPr>
              <w:t>&lt;</w:t>
            </w:r>
            <w:r w:rsidR="0055645D">
              <w:t xml:space="preserve"> 22 weeks gestation. </w:t>
            </w:r>
            <w:r w:rsidR="00825E8D">
              <w:t xml:space="preserve">References reviewed and updated. </w:t>
            </w:r>
          </w:p>
        </w:tc>
        <w:tc>
          <w:tcPr>
            <w:tcW w:w="782" w:type="dxa"/>
          </w:tcPr>
          <w:p w14:paraId="5CB99C0B" w14:textId="1CBFB842" w:rsidR="00825E8D" w:rsidRDefault="00825E8D" w:rsidP="005776FD">
            <w:pPr>
              <w:jc w:val="center"/>
              <w:cnfStyle w:val="000000000000" w:firstRow="0" w:lastRow="0" w:firstColumn="0" w:lastColumn="0" w:oddVBand="0" w:evenVBand="0" w:oddHBand="0"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88" w:type="dxa"/>
          </w:tcPr>
          <w:p w14:paraId="57A43E1E" w14:textId="14DF7E49" w:rsidR="00825E8D" w:rsidRDefault="0055645D" w:rsidP="00857C10">
            <w:pPr>
              <w:jc w:val="center"/>
            </w:pPr>
            <w:r>
              <w:t>05/19</w:t>
            </w:r>
          </w:p>
        </w:tc>
      </w:tr>
    </w:tbl>
    <w:p w14:paraId="1037CF36" w14:textId="77777777" w:rsidR="00B777AF" w:rsidRDefault="00B777AF" w:rsidP="00B777AF">
      <w:pPr>
        <w:pStyle w:val="Heading6"/>
        <w:tabs>
          <w:tab w:val="clear" w:pos="0"/>
        </w:tabs>
      </w:pPr>
    </w:p>
    <w:p w14:paraId="1037CF37" w14:textId="77777777" w:rsidR="00963062" w:rsidRDefault="003F3D44" w:rsidP="0048742A">
      <w:pPr>
        <w:pStyle w:val="Heading3"/>
      </w:pPr>
      <w:r>
        <w:t>References</w:t>
      </w:r>
    </w:p>
    <w:p w14:paraId="1037CF38" w14:textId="70C69B6E" w:rsidR="0048742A" w:rsidRPr="00DA7445" w:rsidRDefault="0048742A" w:rsidP="00DA7445">
      <w:pPr>
        <w:pStyle w:val="ListParagraph"/>
        <w:numPr>
          <w:ilvl w:val="0"/>
          <w:numId w:val="21"/>
        </w:numPr>
        <w:ind w:left="360"/>
        <w:rPr>
          <w:bCs/>
        </w:rPr>
      </w:pPr>
      <w:r w:rsidRPr="00DA7445">
        <w:rPr>
          <w:bCs/>
        </w:rPr>
        <w:t xml:space="preserve">The American College of Obstetricians and Gynecologists. </w:t>
      </w:r>
      <w:r w:rsidR="00197D1B">
        <w:rPr>
          <w:bCs/>
        </w:rPr>
        <w:t>C</w:t>
      </w:r>
      <w:r w:rsidRPr="00DA7445">
        <w:rPr>
          <w:bCs/>
        </w:rPr>
        <w:t xml:space="preserve">arrier screening for </w:t>
      </w:r>
      <w:r w:rsidR="00A3659D">
        <w:rPr>
          <w:bCs/>
        </w:rPr>
        <w:t>genetic conditions</w:t>
      </w:r>
      <w:r w:rsidRPr="00DA7445">
        <w:rPr>
          <w:bCs/>
        </w:rPr>
        <w:t xml:space="preserve">. Committee Opinion, Committee on Genetics, No </w:t>
      </w:r>
      <w:r w:rsidR="00A3659D">
        <w:rPr>
          <w:bCs/>
        </w:rPr>
        <w:t>691</w:t>
      </w:r>
      <w:r w:rsidRPr="00DA7445">
        <w:rPr>
          <w:bCs/>
        </w:rPr>
        <w:t xml:space="preserve">, </w:t>
      </w:r>
      <w:r w:rsidR="00A3659D">
        <w:rPr>
          <w:bCs/>
        </w:rPr>
        <w:t>March 2017.</w:t>
      </w:r>
      <w:r w:rsidR="00DD1DB4">
        <w:rPr>
          <w:bCs/>
        </w:rPr>
        <w:t xml:space="preserve">  Reaffirmed 2019</w:t>
      </w:r>
    </w:p>
    <w:p w14:paraId="1037CF39" w14:textId="4C6F7496" w:rsidR="0048742A" w:rsidRPr="00DA7445" w:rsidRDefault="0048742A" w:rsidP="00C62B23">
      <w:pPr>
        <w:pStyle w:val="ListParagraph"/>
        <w:numPr>
          <w:ilvl w:val="0"/>
          <w:numId w:val="21"/>
        </w:numPr>
        <w:ind w:left="360"/>
        <w:rPr>
          <w:bCs/>
        </w:rPr>
      </w:pPr>
      <w:r w:rsidRPr="00DA7445">
        <w:rPr>
          <w:bCs/>
        </w:rPr>
        <w:t xml:space="preserve">The American College of Obstetricians and Gynecologists. Frequently asked questions FAQ171 Pregnancy. </w:t>
      </w:r>
      <w:r w:rsidR="00C62B23">
        <w:rPr>
          <w:bCs/>
        </w:rPr>
        <w:t>C</w:t>
      </w:r>
      <w:r w:rsidR="00C62B23" w:rsidRPr="00C62B23">
        <w:rPr>
          <w:bCs/>
        </w:rPr>
        <w:t>ystic Fibrosis: Prenatal Screening and Diagnosis</w:t>
      </w:r>
      <w:r w:rsidR="00C62B23">
        <w:rPr>
          <w:bCs/>
        </w:rPr>
        <w:t>. June 2017.</w:t>
      </w:r>
      <w:r w:rsidR="00392F50">
        <w:rPr>
          <w:bCs/>
        </w:rPr>
        <w:t xml:space="preserve"> </w:t>
      </w:r>
      <w:r w:rsidRPr="00DA7445">
        <w:rPr>
          <w:bCs/>
        </w:rPr>
        <w:t xml:space="preserve">Accessed online at: </w:t>
      </w:r>
      <w:hyperlink r:id="rId14" w:history="1">
        <w:r w:rsidRPr="00DA7445">
          <w:rPr>
            <w:rStyle w:val="Hyperlink"/>
            <w:bCs/>
          </w:rPr>
          <w:t>http://www.acog.org/~/media/For%20Patients/faq171.pdf?dmc=1&amp;ts=20130624T1134297985</w:t>
        </w:r>
      </w:hyperlink>
      <w:r w:rsidRPr="00DA7445">
        <w:rPr>
          <w:bCs/>
        </w:rPr>
        <w:t xml:space="preserve">.  </w:t>
      </w:r>
    </w:p>
    <w:p w14:paraId="1037CF3A" w14:textId="77777777" w:rsidR="0048742A" w:rsidRDefault="0048742A" w:rsidP="00DA7445">
      <w:pPr>
        <w:pStyle w:val="ListParagraph"/>
        <w:numPr>
          <w:ilvl w:val="0"/>
          <w:numId w:val="21"/>
        </w:numPr>
        <w:ind w:left="360"/>
        <w:rPr>
          <w:bCs/>
        </w:rPr>
      </w:pPr>
      <w:r w:rsidRPr="00DA7445">
        <w:rPr>
          <w:bCs/>
        </w:rPr>
        <w:t xml:space="preserve">Cystic Fibrosis Foundation.  CF Genetics.  Accessed online at: </w:t>
      </w:r>
      <w:hyperlink r:id="rId15" w:history="1">
        <w:r w:rsidRPr="00DA7445">
          <w:rPr>
            <w:rStyle w:val="Hyperlink"/>
            <w:bCs/>
          </w:rPr>
          <w:t>http://www.cff.org/AboutCF/Testing/Genetics/</w:t>
        </w:r>
      </w:hyperlink>
      <w:r w:rsidRPr="00DA7445">
        <w:rPr>
          <w:bCs/>
        </w:rPr>
        <w:t xml:space="preserve">.  </w:t>
      </w:r>
    </w:p>
    <w:p w14:paraId="1037CF3B" w14:textId="77777777" w:rsidR="00197D1B" w:rsidRPr="00C62B23" w:rsidRDefault="00197D1B" w:rsidP="00197D1B">
      <w:pPr>
        <w:pStyle w:val="ListParagraph"/>
        <w:numPr>
          <w:ilvl w:val="0"/>
          <w:numId w:val="21"/>
        </w:numPr>
        <w:ind w:left="360"/>
        <w:rPr>
          <w:rStyle w:val="Hyperlink"/>
          <w:bCs/>
          <w:color w:val="auto"/>
          <w:u w:val="none"/>
        </w:rPr>
      </w:pPr>
      <w:r>
        <w:rPr>
          <w:bCs/>
        </w:rPr>
        <w:t xml:space="preserve">Spinal Muscular Atrophy Foundation. Overview. Accessed online at: </w:t>
      </w:r>
      <w:hyperlink r:id="rId16" w:history="1">
        <w:r w:rsidRPr="00573B3A">
          <w:rPr>
            <w:rStyle w:val="Hyperlink"/>
            <w:bCs/>
          </w:rPr>
          <w:t>http://www.smafoundation.org/about-sma/</w:t>
        </w:r>
      </w:hyperlink>
    </w:p>
    <w:p w14:paraId="6148B5A4" w14:textId="421B7E4B" w:rsidR="00C62B23" w:rsidRDefault="00C62B23" w:rsidP="007A0F2E">
      <w:pPr>
        <w:pStyle w:val="ListParagraph"/>
        <w:numPr>
          <w:ilvl w:val="0"/>
          <w:numId w:val="21"/>
        </w:numPr>
        <w:ind w:left="360"/>
        <w:rPr>
          <w:bCs/>
        </w:rPr>
      </w:pPr>
      <w:r w:rsidRPr="00C62B23">
        <w:rPr>
          <w:bCs/>
        </w:rPr>
        <w:t>The American College of Obstetricians and Gynecologists.  Frequently asked questions FAQ17</w:t>
      </w:r>
      <w:r>
        <w:rPr>
          <w:bCs/>
        </w:rPr>
        <w:t xml:space="preserve">9.  Pregnancy.  Carrier Screening.  Dec 2018.  Accessed at:  </w:t>
      </w:r>
      <w:hyperlink r:id="rId17" w:history="1">
        <w:r w:rsidRPr="00881E89">
          <w:rPr>
            <w:rStyle w:val="Hyperlink"/>
            <w:bCs/>
          </w:rPr>
          <w:t>https://www.acog.org/Patients/FAQs/Carrier-Screening</w:t>
        </w:r>
      </w:hyperlink>
    </w:p>
    <w:p w14:paraId="21211373" w14:textId="5B321241" w:rsidR="00C62B23" w:rsidRPr="00C62B23" w:rsidRDefault="00C62B23" w:rsidP="007A0F2E">
      <w:pPr>
        <w:pStyle w:val="ListParagraph"/>
        <w:numPr>
          <w:ilvl w:val="0"/>
          <w:numId w:val="21"/>
        </w:numPr>
        <w:tabs>
          <w:tab w:val="left" w:pos="450"/>
        </w:tabs>
        <w:ind w:left="360"/>
        <w:rPr>
          <w:bCs/>
        </w:rPr>
      </w:pPr>
      <w:r w:rsidRPr="00C62B23">
        <w:rPr>
          <w:bCs/>
        </w:rPr>
        <w:t xml:space="preserve">The American College of Obstetricians and Gynecologists.  </w:t>
      </w:r>
      <w:r>
        <w:rPr>
          <w:bCs/>
        </w:rPr>
        <w:t xml:space="preserve">Frequently asked questions FAQ197.  Pregnancy.  </w:t>
      </w:r>
      <w:r w:rsidRPr="00C62B23">
        <w:rPr>
          <w:bCs/>
        </w:rPr>
        <w:t>Carrier Screening for Spinal Muscular Atrophy</w:t>
      </w:r>
      <w:r>
        <w:rPr>
          <w:bCs/>
        </w:rPr>
        <w:t xml:space="preserve">.  Oct 2018.  Accessed at:  </w:t>
      </w:r>
      <w:hyperlink r:id="rId18" w:history="1">
        <w:r w:rsidRPr="00C62B23">
          <w:rPr>
            <w:color w:val="0000FF"/>
            <w:u w:val="single"/>
          </w:rPr>
          <w:t>https://www.acog.org/Patients/FAQs/Carrier-Screening-for-Spinal-Muscular-Atrophy</w:t>
        </w:r>
      </w:hyperlink>
    </w:p>
    <w:p w14:paraId="2AF31D2F" w14:textId="2BA4333F" w:rsidR="00C62B23" w:rsidRPr="0065419A" w:rsidRDefault="0083367A" w:rsidP="00706B8E">
      <w:pPr>
        <w:pStyle w:val="ListParagraph"/>
        <w:numPr>
          <w:ilvl w:val="0"/>
          <w:numId w:val="21"/>
        </w:numPr>
        <w:ind w:left="360"/>
        <w:rPr>
          <w:bCs/>
        </w:rPr>
      </w:pPr>
      <w:r w:rsidRPr="0083367A">
        <w:rPr>
          <w:bCs/>
        </w:rPr>
        <w:t>The American College of Obstetricians and Gynecologists</w:t>
      </w:r>
      <w:r>
        <w:rPr>
          <w:bCs/>
        </w:rPr>
        <w:t>.  Carrier Screening in the Age of Genomic Medicine.  No.690. March 2017.  Reaffirmed 2019</w:t>
      </w:r>
      <w:r w:rsidR="0065419A">
        <w:rPr>
          <w:bCs/>
        </w:rPr>
        <w:t xml:space="preserve">.  Accessed April 26, 2019 at:  </w:t>
      </w:r>
      <w:hyperlink r:id="rId19" w:history="1">
        <w:r w:rsidR="0065419A" w:rsidRPr="0065419A">
          <w:rPr>
            <w:color w:val="0000FF"/>
            <w:u w:val="single"/>
          </w:rPr>
          <w:t>https://www.acog.org/Clinical-Guidance-and-Publications/Committee-Opinions/Committee-on-Genetics/Carrier-Screening-in-the-Age-of-Genomic-Medicine?IsMobileSet=false</w:t>
        </w:r>
      </w:hyperlink>
    </w:p>
    <w:p w14:paraId="71E3A42A" w14:textId="77777777" w:rsidR="0065419A" w:rsidRDefault="0065419A" w:rsidP="00392F50">
      <w:pPr>
        <w:pStyle w:val="ListParagraph"/>
        <w:ind w:left="360"/>
        <w:rPr>
          <w:bCs/>
        </w:rPr>
      </w:pPr>
    </w:p>
    <w:p w14:paraId="1037CF3C" w14:textId="77777777" w:rsidR="00197D1B" w:rsidRPr="000A16CA" w:rsidRDefault="00197D1B" w:rsidP="00D4614A">
      <w:pPr>
        <w:rPr>
          <w:bCs/>
        </w:rPr>
      </w:pPr>
    </w:p>
    <w:p w14:paraId="1037CF3D" w14:textId="77777777" w:rsidR="00DD6ADB" w:rsidRPr="00DF5F3F" w:rsidRDefault="00C06257" w:rsidP="00DF5F3F">
      <w:pPr>
        <w:rPr>
          <w:rFonts w:eastAsiaTheme="minorHAnsi"/>
          <w:b/>
          <w:u w:val="single"/>
        </w:rPr>
      </w:pPr>
      <w:bookmarkStart w:id="3" w:name="Important_Reminder"/>
      <w:r w:rsidRPr="00DF5F3F">
        <w:rPr>
          <w:rFonts w:eastAsiaTheme="minorHAnsi"/>
          <w:b/>
          <w:bCs/>
          <w:u w:val="single"/>
        </w:rPr>
        <w:t>Important R</w:t>
      </w:r>
      <w:r w:rsidR="005D7B81" w:rsidRPr="00DF5F3F">
        <w:rPr>
          <w:rFonts w:eastAsiaTheme="minorHAnsi"/>
          <w:b/>
          <w:bCs/>
          <w:u w:val="single"/>
        </w:rPr>
        <w:t>eminder</w:t>
      </w:r>
      <w:bookmarkEnd w:id="3"/>
    </w:p>
    <w:p w14:paraId="1037CF3E" w14:textId="77777777" w:rsidR="00DD6ADB" w:rsidRPr="00DF5F3F" w:rsidRDefault="00DD6ADB" w:rsidP="00DF5F3F">
      <w:pPr>
        <w:rPr>
          <w:rFonts w:eastAsiaTheme="minorHAnsi"/>
        </w:rPr>
      </w:pPr>
      <w:r w:rsidRPr="00DF5F3F">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DF5F3F">
        <w:rPr>
          <w:rFonts w:eastAsiaTheme="minorHAnsi"/>
          <w:iCs/>
        </w:rPr>
        <w:t>The Health Plan</w:t>
      </w:r>
      <w:r w:rsidRPr="00DF5F3F">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1037CF3F" w14:textId="77777777" w:rsidR="00DD6ADB" w:rsidRPr="00DF5F3F" w:rsidRDefault="00DD6ADB" w:rsidP="00DF5F3F">
      <w:pPr>
        <w:rPr>
          <w:rFonts w:eastAsiaTheme="minorHAnsi"/>
        </w:rPr>
      </w:pPr>
    </w:p>
    <w:p w14:paraId="1037CF40" w14:textId="77777777" w:rsidR="00DD6ADB" w:rsidRPr="00DF5F3F" w:rsidRDefault="00DD6ADB" w:rsidP="00DF5F3F">
      <w:pPr>
        <w:rPr>
          <w:rFonts w:eastAsiaTheme="minorHAnsi"/>
        </w:rPr>
      </w:pPr>
      <w:r w:rsidRPr="00DF5F3F">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037CF41" w14:textId="77777777" w:rsidR="00DD6ADB" w:rsidRPr="00DF5F3F" w:rsidRDefault="00DD6ADB" w:rsidP="00DF5F3F">
      <w:pPr>
        <w:rPr>
          <w:rFonts w:eastAsiaTheme="minorHAnsi"/>
        </w:rPr>
      </w:pPr>
    </w:p>
    <w:p w14:paraId="1037CF42" w14:textId="77777777" w:rsidR="00DD6ADB" w:rsidRPr="00DF5F3F" w:rsidRDefault="00DD6ADB" w:rsidP="00DF5F3F">
      <w:pPr>
        <w:rPr>
          <w:color w:val="002868"/>
        </w:rPr>
      </w:pPr>
      <w:r w:rsidRPr="00DF5F3F">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1037CF43" w14:textId="77777777" w:rsidR="00DD6ADB" w:rsidRPr="00DF5F3F" w:rsidRDefault="00DD6ADB" w:rsidP="00DF5F3F">
      <w:pPr>
        <w:rPr>
          <w:rFonts w:eastAsiaTheme="minorHAnsi"/>
        </w:rPr>
      </w:pPr>
    </w:p>
    <w:p w14:paraId="1037CF44" w14:textId="77777777" w:rsidR="00DD6ADB" w:rsidRPr="00DF5F3F" w:rsidRDefault="00DD6ADB" w:rsidP="00DF5F3F">
      <w:pPr>
        <w:rPr>
          <w:rFonts w:eastAsiaTheme="minorHAnsi"/>
        </w:rPr>
      </w:pPr>
      <w:r w:rsidRPr="00DF5F3F">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037CF45" w14:textId="77777777" w:rsidR="00DD6ADB" w:rsidRPr="00DF5F3F" w:rsidRDefault="00DD6ADB" w:rsidP="00DF5F3F">
      <w:pPr>
        <w:rPr>
          <w:rFonts w:eastAsiaTheme="minorHAnsi"/>
        </w:rPr>
      </w:pPr>
    </w:p>
    <w:p w14:paraId="1037CF46" w14:textId="77777777" w:rsidR="00DD6ADB" w:rsidRPr="00DF5F3F" w:rsidRDefault="00DD6ADB" w:rsidP="00DF5F3F">
      <w:pPr>
        <w:rPr>
          <w:rFonts w:eastAsiaTheme="minorHAnsi"/>
        </w:rPr>
      </w:pPr>
      <w:r w:rsidRPr="00DF5F3F">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1037CF47" w14:textId="77777777" w:rsidR="00DD6ADB" w:rsidRPr="00DF5F3F" w:rsidRDefault="00DD6ADB" w:rsidP="00DF5F3F">
      <w:pPr>
        <w:rPr>
          <w:rFonts w:eastAsiaTheme="minorHAnsi"/>
        </w:rPr>
      </w:pPr>
    </w:p>
    <w:p w14:paraId="1037CF48" w14:textId="77777777" w:rsidR="00DD6ADB" w:rsidRPr="00DF5F3F" w:rsidRDefault="00DD6ADB" w:rsidP="00DF5F3F">
      <w:pPr>
        <w:rPr>
          <w:rFonts w:eastAsiaTheme="minorHAnsi"/>
        </w:rPr>
      </w:pPr>
      <w:r w:rsidRPr="00DF5F3F">
        <w:rPr>
          <w:rFonts w:eastAsiaTheme="minorHAnsi"/>
        </w:rPr>
        <w:t xml:space="preserve">This clinical policy is the property of </w:t>
      </w:r>
      <w:r w:rsidRPr="00DF5F3F">
        <w:rPr>
          <w:rFonts w:eastAsiaTheme="minorHAnsi"/>
          <w:iCs/>
        </w:rPr>
        <w:t>the Health Plan</w:t>
      </w:r>
      <w:r w:rsidRPr="00DF5F3F">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037CF49" w14:textId="77777777" w:rsidR="00DD6ADB" w:rsidRPr="00DF5F3F" w:rsidRDefault="00DD6ADB" w:rsidP="00DF5F3F">
      <w:pPr>
        <w:autoSpaceDE w:val="0"/>
        <w:autoSpaceDN w:val="0"/>
        <w:adjustRightInd w:val="0"/>
        <w:rPr>
          <w:rFonts w:eastAsiaTheme="minorHAnsi"/>
          <w:color w:val="000000"/>
        </w:rPr>
      </w:pPr>
    </w:p>
    <w:p w14:paraId="1037CF4A" w14:textId="77777777" w:rsidR="00DD6ADB" w:rsidRPr="00DF5F3F" w:rsidRDefault="00DD6ADB" w:rsidP="00DF5F3F">
      <w:pPr>
        <w:autoSpaceDE w:val="0"/>
        <w:autoSpaceDN w:val="0"/>
        <w:adjustRightInd w:val="0"/>
        <w:rPr>
          <w:rFonts w:eastAsiaTheme="minorHAnsi"/>
          <w:color w:val="000000"/>
        </w:rPr>
      </w:pPr>
      <w:r w:rsidRPr="00DF5F3F">
        <w:rPr>
          <w:rFonts w:eastAsiaTheme="minorHAnsi"/>
          <w:b/>
          <w:color w:val="000000"/>
        </w:rPr>
        <w:t>Note: For Medicaid members</w:t>
      </w:r>
      <w:r w:rsidRPr="00DF5F3F">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037CF4B" w14:textId="77777777" w:rsidR="00DD6ADB" w:rsidRPr="00DF5F3F" w:rsidRDefault="00DD6ADB" w:rsidP="00DF5F3F">
      <w:pPr>
        <w:rPr>
          <w:rFonts w:eastAsiaTheme="minorHAnsi"/>
        </w:rPr>
      </w:pPr>
    </w:p>
    <w:p w14:paraId="1037CF4C" w14:textId="77777777" w:rsidR="00DD6ADB" w:rsidRPr="00DF5F3F" w:rsidRDefault="00DD6ADB" w:rsidP="00DF5F3F">
      <w:pPr>
        <w:autoSpaceDE w:val="0"/>
        <w:autoSpaceDN w:val="0"/>
        <w:adjustRightInd w:val="0"/>
        <w:rPr>
          <w:color w:val="000000"/>
        </w:rPr>
      </w:pPr>
      <w:r w:rsidRPr="00DF5F3F">
        <w:rPr>
          <w:rFonts w:eastAsiaTheme="minorHAnsi"/>
          <w:b/>
          <w:bCs/>
          <w:color w:val="000000"/>
        </w:rPr>
        <w:t xml:space="preserve">Note: For Medicare members, </w:t>
      </w:r>
      <w:r w:rsidRPr="00DF5F3F">
        <w:rPr>
          <w:rFonts w:eastAsiaTheme="minorHAnsi"/>
          <w:color w:val="000000"/>
        </w:rPr>
        <w:t>to ensure consistency with the Medicare National Coverage Determinations (NCD) and Local Coverage Determinations (LCD), all applicable NCDs</w:t>
      </w:r>
      <w:r w:rsidR="000D71CF">
        <w:rPr>
          <w:rFonts w:eastAsiaTheme="minorHAnsi"/>
          <w:color w:val="000000"/>
        </w:rPr>
        <w:t>,</w:t>
      </w:r>
      <w:r w:rsidRPr="00DF5F3F">
        <w:rPr>
          <w:rFonts w:eastAsiaTheme="minorHAnsi"/>
          <w:color w:val="000000"/>
        </w:rPr>
        <w:t xml:space="preserve"> LCDs</w:t>
      </w:r>
      <w:r w:rsidR="000D71CF">
        <w:rPr>
          <w:rFonts w:eastAsiaTheme="minorHAnsi"/>
          <w:color w:val="000000"/>
        </w:rPr>
        <w:t>, and Medicare Coverage Articles</w:t>
      </w:r>
      <w:r w:rsidRPr="00DF5F3F">
        <w:rPr>
          <w:rFonts w:eastAsiaTheme="minorHAnsi"/>
          <w:color w:val="000000"/>
        </w:rPr>
        <w:t xml:space="preserve"> should be reviewed </w:t>
      </w:r>
      <w:r w:rsidRPr="00DF5F3F">
        <w:rPr>
          <w:rFonts w:eastAsiaTheme="minorHAnsi"/>
          <w:color w:val="000000"/>
          <w:u w:val="single"/>
        </w:rPr>
        <w:t>prior to</w:t>
      </w:r>
      <w:r w:rsidRPr="00DF5F3F">
        <w:rPr>
          <w:rFonts w:eastAsiaTheme="minorHAnsi"/>
          <w:color w:val="000000"/>
        </w:rPr>
        <w:t xml:space="preserve"> applying the criteria set forth in this clinical policy. Refer to the CMS website at </w:t>
      </w:r>
      <w:hyperlink r:id="rId20" w:history="1">
        <w:r w:rsidRPr="00DF5F3F">
          <w:rPr>
            <w:rFonts w:eastAsiaTheme="minorHAnsi"/>
            <w:color w:val="000000"/>
            <w:u w:val="single"/>
          </w:rPr>
          <w:t>http://www.cms.gov</w:t>
        </w:r>
      </w:hyperlink>
      <w:r w:rsidRPr="00DF5F3F">
        <w:rPr>
          <w:rFonts w:eastAsiaTheme="minorHAnsi"/>
          <w:color w:val="000000"/>
        </w:rPr>
        <w:t xml:space="preserve"> for additional information.</w:t>
      </w:r>
      <w:r w:rsidRPr="00DF5F3F">
        <w:rPr>
          <w:color w:val="000000"/>
        </w:rPr>
        <w:t xml:space="preserve"> </w:t>
      </w:r>
    </w:p>
    <w:p w14:paraId="1037CF4D" w14:textId="77777777" w:rsidR="00875924" w:rsidRPr="00DF5F3F" w:rsidRDefault="00875924" w:rsidP="00DF5F3F">
      <w:pPr>
        <w:rPr>
          <w:iCs/>
        </w:rPr>
      </w:pPr>
    </w:p>
    <w:p w14:paraId="1037CF4E" w14:textId="77777777" w:rsidR="00C75BD4" w:rsidRPr="00DF5F3F" w:rsidRDefault="00C75BD4" w:rsidP="00DF5F3F">
      <w:pPr>
        <w:rPr>
          <w:iCs/>
        </w:rPr>
      </w:pPr>
      <w:r w:rsidRPr="00DF5F3F">
        <w:rPr>
          <w:iCs/>
        </w:rPr>
        <w:t>©201</w:t>
      </w:r>
      <w:r w:rsidR="00493710" w:rsidRPr="00DF5F3F">
        <w:rPr>
          <w:iCs/>
        </w:rPr>
        <w:t>6</w:t>
      </w:r>
      <w:r w:rsidRPr="00DF5F3F">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DF5F3F">
        <w:rPr>
          <w:iCs/>
          <w:vertAlign w:val="superscript"/>
        </w:rPr>
        <w:t>®</w:t>
      </w:r>
      <w:r w:rsidRPr="00DF5F3F">
        <w:rPr>
          <w:iCs/>
        </w:rPr>
        <w:t xml:space="preserve"> and Centene Corporation</w:t>
      </w:r>
      <w:r w:rsidRPr="00DF5F3F">
        <w:rPr>
          <w:iCs/>
          <w:vertAlign w:val="superscript"/>
        </w:rPr>
        <w:t>®</w:t>
      </w:r>
      <w:r w:rsidRPr="00DF5F3F">
        <w:rPr>
          <w:iCs/>
        </w:rPr>
        <w:t xml:space="preserve"> are registered trademarks exclusively owned by Centene Corporation.</w:t>
      </w:r>
    </w:p>
    <w:p w14:paraId="1037CF4F" w14:textId="77777777" w:rsidR="00C75BD4" w:rsidRPr="00DF5F3F" w:rsidRDefault="00C75BD4" w:rsidP="00DF5F3F"/>
    <w:sectPr w:rsidR="00C75BD4" w:rsidRPr="00DF5F3F"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CF52" w14:textId="77777777" w:rsidR="009C77CC" w:rsidRDefault="009C77CC">
      <w:r>
        <w:separator/>
      </w:r>
    </w:p>
  </w:endnote>
  <w:endnote w:type="continuationSeparator" w:id="0">
    <w:p w14:paraId="1037CF53" w14:textId="77777777" w:rsidR="009C77CC" w:rsidRDefault="009C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CF56" w14:textId="52E41AFC" w:rsidR="004A1870" w:rsidRPr="00D574CA" w:rsidRDefault="004A1870" w:rsidP="00D574CA">
    <w:pPr>
      <w:pStyle w:val="Footer"/>
      <w:jc w:val="center"/>
    </w:pPr>
    <w:r>
      <w:t xml:space="preserve">Page </w:t>
    </w:r>
    <w:r>
      <w:rPr>
        <w:b/>
        <w:bCs/>
      </w:rPr>
      <w:fldChar w:fldCharType="begin"/>
    </w:r>
    <w:r>
      <w:rPr>
        <w:b/>
        <w:bCs/>
      </w:rPr>
      <w:instrText xml:space="preserve"> PAGE </w:instrText>
    </w:r>
    <w:r>
      <w:rPr>
        <w:b/>
        <w:bCs/>
      </w:rPr>
      <w:fldChar w:fldCharType="separate"/>
    </w:r>
    <w:r w:rsidR="00334DC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34DC6">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CF58" w14:textId="0001F2E6" w:rsidR="004A1870" w:rsidRDefault="004A1870" w:rsidP="002C6AAB">
    <w:pPr>
      <w:pStyle w:val="Footer"/>
      <w:jc w:val="center"/>
    </w:pPr>
    <w:r>
      <w:t xml:space="preserve">Page </w:t>
    </w:r>
    <w:r>
      <w:fldChar w:fldCharType="begin"/>
    </w:r>
    <w:r>
      <w:instrText xml:space="preserve"> PAGE   \* MERGEFORMAT </w:instrText>
    </w:r>
    <w:r>
      <w:fldChar w:fldCharType="separate"/>
    </w:r>
    <w:r w:rsidR="00334DC6">
      <w:rPr>
        <w:noProof/>
      </w:rPr>
      <w:t>1</w:t>
    </w:r>
    <w:r>
      <w:fldChar w:fldCharType="end"/>
    </w:r>
    <w:r>
      <w:t xml:space="preserve"> of </w:t>
    </w:r>
    <w:r w:rsidR="00EA7A5A">
      <w:rPr>
        <w:noProof/>
      </w:rPr>
      <w:fldChar w:fldCharType="begin"/>
    </w:r>
    <w:r w:rsidR="00EA7A5A">
      <w:rPr>
        <w:noProof/>
      </w:rPr>
      <w:instrText xml:space="preserve"> NUMPAGES   \* MERGEFORMAT </w:instrText>
    </w:r>
    <w:r w:rsidR="00EA7A5A">
      <w:rPr>
        <w:noProof/>
      </w:rPr>
      <w:fldChar w:fldCharType="separate"/>
    </w:r>
    <w:r w:rsidR="00334DC6">
      <w:rPr>
        <w:noProof/>
      </w:rPr>
      <w:t>4</w:t>
    </w:r>
    <w:r w:rsidR="00EA7A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CF50" w14:textId="77777777" w:rsidR="009C77CC" w:rsidRDefault="009C77CC">
      <w:r>
        <w:separator/>
      </w:r>
    </w:p>
  </w:footnote>
  <w:footnote w:type="continuationSeparator" w:id="0">
    <w:p w14:paraId="1037CF51" w14:textId="77777777" w:rsidR="009C77CC" w:rsidRDefault="009C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CF54" w14:textId="77777777" w:rsidR="004A1870" w:rsidRPr="00B777AF" w:rsidRDefault="004A1870"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1037CF59" wp14:editId="1037CF5A">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037CF55" w14:textId="77777777" w:rsidR="004A1870" w:rsidRPr="00B777AF" w:rsidRDefault="004A1870" w:rsidP="00B777AF">
    <w:pPr>
      <w:rPr>
        <w:color w:val="00548C"/>
      </w:rPr>
    </w:pPr>
    <w:r>
      <w:rPr>
        <w:rFonts w:ascii="Times New Roman Bold" w:hAnsi="Times New Roman Bold"/>
        <w:b/>
        <w:bCs/>
        <w:color w:val="00548C"/>
      </w:rPr>
      <w:t>Carrier Screening</w:t>
    </w:r>
    <w:r w:rsidR="00D4614A">
      <w:rPr>
        <w:rFonts w:ascii="Times New Roman Bold" w:hAnsi="Times New Roman Bold"/>
        <w:b/>
        <w:bCs/>
        <w:color w:val="00548C"/>
      </w:rPr>
      <w:t xml:space="preserve"> in Pregnancy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CF57" w14:textId="77777777" w:rsidR="004A1870" w:rsidRDefault="004A1870" w:rsidP="00B777AF">
    <w:pPr>
      <w:pStyle w:val="Header"/>
      <w:jc w:val="right"/>
    </w:pPr>
    <w:r>
      <w:rPr>
        <w:noProof/>
      </w:rPr>
      <w:drawing>
        <wp:inline distT="0" distB="0" distL="0" distR="0" wp14:anchorId="1037CF5B" wp14:editId="1037CF5C">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C1B4D"/>
    <w:multiLevelType w:val="hybridMultilevel"/>
    <w:tmpl w:val="0D10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F07D18"/>
    <w:multiLevelType w:val="hybridMultilevel"/>
    <w:tmpl w:val="ADAE8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1E3D0A"/>
    <w:multiLevelType w:val="hybridMultilevel"/>
    <w:tmpl w:val="861A07CA"/>
    <w:lvl w:ilvl="0" w:tplc="6BAC0802">
      <w:start w:val="1"/>
      <w:numFmt w:val="upperRoman"/>
      <w:lvlText w:val="%1."/>
      <w:lvlJc w:val="left"/>
      <w:pPr>
        <w:ind w:left="81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8"/>
  </w:num>
  <w:num w:numId="4">
    <w:abstractNumId w:val="11"/>
  </w:num>
  <w:num w:numId="5">
    <w:abstractNumId w:val="12"/>
  </w:num>
  <w:num w:numId="6">
    <w:abstractNumId w:val="17"/>
  </w:num>
  <w:num w:numId="7">
    <w:abstractNumId w:val="18"/>
  </w:num>
  <w:num w:numId="8">
    <w:abstractNumId w:val="1"/>
  </w:num>
  <w:num w:numId="9">
    <w:abstractNumId w:val="14"/>
  </w:num>
  <w:num w:numId="10">
    <w:abstractNumId w:val="6"/>
  </w:num>
  <w:num w:numId="11">
    <w:abstractNumId w:val="20"/>
  </w:num>
  <w:num w:numId="12">
    <w:abstractNumId w:val="10"/>
  </w:num>
  <w:num w:numId="13">
    <w:abstractNumId w:val="9"/>
  </w:num>
  <w:num w:numId="14">
    <w:abstractNumId w:val="4"/>
  </w:num>
  <w:num w:numId="15">
    <w:abstractNumId w:val="7"/>
  </w:num>
  <w:num w:numId="16">
    <w:abstractNumId w:val="19"/>
  </w:num>
  <w:num w:numId="17">
    <w:abstractNumId w:val="15"/>
  </w:num>
  <w:num w:numId="18">
    <w:abstractNumId w:val="13"/>
  </w:num>
  <w:num w:numId="19">
    <w:abstractNumId w:val="5"/>
  </w:num>
  <w:num w:numId="20">
    <w:abstractNumId w:val="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43B2"/>
    <w:rsid w:val="000268C4"/>
    <w:rsid w:val="00032D3F"/>
    <w:rsid w:val="000465DE"/>
    <w:rsid w:val="0004733E"/>
    <w:rsid w:val="00060509"/>
    <w:rsid w:val="00083740"/>
    <w:rsid w:val="00092CA5"/>
    <w:rsid w:val="00094136"/>
    <w:rsid w:val="000A16CA"/>
    <w:rsid w:val="000B4234"/>
    <w:rsid w:val="000B68B3"/>
    <w:rsid w:val="000D22B1"/>
    <w:rsid w:val="000D71CF"/>
    <w:rsid w:val="000F10C2"/>
    <w:rsid w:val="000F6CE2"/>
    <w:rsid w:val="001148A8"/>
    <w:rsid w:val="001154CA"/>
    <w:rsid w:val="0014316D"/>
    <w:rsid w:val="00170B14"/>
    <w:rsid w:val="001818D7"/>
    <w:rsid w:val="00185104"/>
    <w:rsid w:val="001962BE"/>
    <w:rsid w:val="00196689"/>
    <w:rsid w:val="00196935"/>
    <w:rsid w:val="0019746F"/>
    <w:rsid w:val="00197D1B"/>
    <w:rsid w:val="001D0D34"/>
    <w:rsid w:val="001D6CA1"/>
    <w:rsid w:val="001D70D4"/>
    <w:rsid w:val="001E12A6"/>
    <w:rsid w:val="001E7D12"/>
    <w:rsid w:val="0020675F"/>
    <w:rsid w:val="00220736"/>
    <w:rsid w:val="00230FE4"/>
    <w:rsid w:val="00233651"/>
    <w:rsid w:val="00254020"/>
    <w:rsid w:val="0025452A"/>
    <w:rsid w:val="0027711F"/>
    <w:rsid w:val="00285997"/>
    <w:rsid w:val="00295D1E"/>
    <w:rsid w:val="002A39EE"/>
    <w:rsid w:val="002A3FBB"/>
    <w:rsid w:val="002B0582"/>
    <w:rsid w:val="002C6AAB"/>
    <w:rsid w:val="002D019A"/>
    <w:rsid w:val="002E48E7"/>
    <w:rsid w:val="002E6023"/>
    <w:rsid w:val="002F4E90"/>
    <w:rsid w:val="003140D6"/>
    <w:rsid w:val="00321A18"/>
    <w:rsid w:val="00334DC6"/>
    <w:rsid w:val="00336E37"/>
    <w:rsid w:val="00337D9F"/>
    <w:rsid w:val="00350F22"/>
    <w:rsid w:val="00354F12"/>
    <w:rsid w:val="003840CC"/>
    <w:rsid w:val="00392F50"/>
    <w:rsid w:val="003C1A74"/>
    <w:rsid w:val="003D7BE7"/>
    <w:rsid w:val="003F3D44"/>
    <w:rsid w:val="00446079"/>
    <w:rsid w:val="00447C9D"/>
    <w:rsid w:val="00454CFE"/>
    <w:rsid w:val="00472C6C"/>
    <w:rsid w:val="00480C09"/>
    <w:rsid w:val="004858A1"/>
    <w:rsid w:val="0048742A"/>
    <w:rsid w:val="00493710"/>
    <w:rsid w:val="00496BCF"/>
    <w:rsid w:val="00497AED"/>
    <w:rsid w:val="004A1870"/>
    <w:rsid w:val="004A7F8D"/>
    <w:rsid w:val="004E0B99"/>
    <w:rsid w:val="004F6394"/>
    <w:rsid w:val="004F7BBD"/>
    <w:rsid w:val="00505830"/>
    <w:rsid w:val="005103B8"/>
    <w:rsid w:val="005103CC"/>
    <w:rsid w:val="00510F7E"/>
    <w:rsid w:val="00532F2A"/>
    <w:rsid w:val="005423D4"/>
    <w:rsid w:val="005537B0"/>
    <w:rsid w:val="0055645D"/>
    <w:rsid w:val="005763D6"/>
    <w:rsid w:val="005776FD"/>
    <w:rsid w:val="00583376"/>
    <w:rsid w:val="00597D1E"/>
    <w:rsid w:val="005C17DF"/>
    <w:rsid w:val="005C3607"/>
    <w:rsid w:val="005D009F"/>
    <w:rsid w:val="005D1C14"/>
    <w:rsid w:val="005D5146"/>
    <w:rsid w:val="005D7B81"/>
    <w:rsid w:val="005E411E"/>
    <w:rsid w:val="005F2A9B"/>
    <w:rsid w:val="006474BB"/>
    <w:rsid w:val="0065419A"/>
    <w:rsid w:val="006664E9"/>
    <w:rsid w:val="006C74DF"/>
    <w:rsid w:val="006F4D70"/>
    <w:rsid w:val="00706B8E"/>
    <w:rsid w:val="00744250"/>
    <w:rsid w:val="007764CE"/>
    <w:rsid w:val="007A0BCC"/>
    <w:rsid w:val="007A0F2E"/>
    <w:rsid w:val="007A7A30"/>
    <w:rsid w:val="007B07AE"/>
    <w:rsid w:val="007B50D0"/>
    <w:rsid w:val="007D4801"/>
    <w:rsid w:val="007E2E1C"/>
    <w:rsid w:val="007F1F19"/>
    <w:rsid w:val="007F6953"/>
    <w:rsid w:val="008129D8"/>
    <w:rsid w:val="00825E8D"/>
    <w:rsid w:val="0083367A"/>
    <w:rsid w:val="00835460"/>
    <w:rsid w:val="008430AA"/>
    <w:rsid w:val="00857C10"/>
    <w:rsid w:val="00875924"/>
    <w:rsid w:val="00877EC7"/>
    <w:rsid w:val="008824FE"/>
    <w:rsid w:val="00896E94"/>
    <w:rsid w:val="008B0705"/>
    <w:rsid w:val="008C6B3A"/>
    <w:rsid w:val="00902C9B"/>
    <w:rsid w:val="009075A1"/>
    <w:rsid w:val="009135E0"/>
    <w:rsid w:val="00915CA4"/>
    <w:rsid w:val="00950820"/>
    <w:rsid w:val="00961071"/>
    <w:rsid w:val="00963062"/>
    <w:rsid w:val="009735FA"/>
    <w:rsid w:val="00977ECA"/>
    <w:rsid w:val="00977FBF"/>
    <w:rsid w:val="00982180"/>
    <w:rsid w:val="009928B2"/>
    <w:rsid w:val="009A12C4"/>
    <w:rsid w:val="009C61B2"/>
    <w:rsid w:val="009C6257"/>
    <w:rsid w:val="009C77CC"/>
    <w:rsid w:val="009D5928"/>
    <w:rsid w:val="009E6F29"/>
    <w:rsid w:val="00A0148C"/>
    <w:rsid w:val="00A02A3F"/>
    <w:rsid w:val="00A0572D"/>
    <w:rsid w:val="00A20F73"/>
    <w:rsid w:val="00A360D0"/>
    <w:rsid w:val="00A3659D"/>
    <w:rsid w:val="00A378E0"/>
    <w:rsid w:val="00A40CB9"/>
    <w:rsid w:val="00A41969"/>
    <w:rsid w:val="00A60413"/>
    <w:rsid w:val="00A61005"/>
    <w:rsid w:val="00A83658"/>
    <w:rsid w:val="00A85489"/>
    <w:rsid w:val="00A87A6E"/>
    <w:rsid w:val="00A87B1F"/>
    <w:rsid w:val="00AA336E"/>
    <w:rsid w:val="00AA428E"/>
    <w:rsid w:val="00AD1AA6"/>
    <w:rsid w:val="00AE58DE"/>
    <w:rsid w:val="00AF1F2A"/>
    <w:rsid w:val="00AF30EF"/>
    <w:rsid w:val="00AF5490"/>
    <w:rsid w:val="00B4633B"/>
    <w:rsid w:val="00B777AF"/>
    <w:rsid w:val="00B81789"/>
    <w:rsid w:val="00B8232F"/>
    <w:rsid w:val="00B92DF1"/>
    <w:rsid w:val="00BA4837"/>
    <w:rsid w:val="00BB5671"/>
    <w:rsid w:val="00BF4150"/>
    <w:rsid w:val="00BF62B5"/>
    <w:rsid w:val="00C01AA6"/>
    <w:rsid w:val="00C020A3"/>
    <w:rsid w:val="00C06257"/>
    <w:rsid w:val="00C079B0"/>
    <w:rsid w:val="00C14250"/>
    <w:rsid w:val="00C2297C"/>
    <w:rsid w:val="00C508E2"/>
    <w:rsid w:val="00C62B23"/>
    <w:rsid w:val="00C64BB4"/>
    <w:rsid w:val="00C73CF5"/>
    <w:rsid w:val="00C75BD4"/>
    <w:rsid w:val="00C9476F"/>
    <w:rsid w:val="00C96847"/>
    <w:rsid w:val="00CA53B9"/>
    <w:rsid w:val="00CA5C08"/>
    <w:rsid w:val="00CF25E8"/>
    <w:rsid w:val="00CF2624"/>
    <w:rsid w:val="00CF67F3"/>
    <w:rsid w:val="00D36448"/>
    <w:rsid w:val="00D4614A"/>
    <w:rsid w:val="00D574CA"/>
    <w:rsid w:val="00D71BC4"/>
    <w:rsid w:val="00D821F9"/>
    <w:rsid w:val="00D954CB"/>
    <w:rsid w:val="00DA7445"/>
    <w:rsid w:val="00DB1DE9"/>
    <w:rsid w:val="00DB7073"/>
    <w:rsid w:val="00DD025A"/>
    <w:rsid w:val="00DD1DB4"/>
    <w:rsid w:val="00DD6ADB"/>
    <w:rsid w:val="00DD7D7A"/>
    <w:rsid w:val="00DE18E2"/>
    <w:rsid w:val="00DF5F3F"/>
    <w:rsid w:val="00E45998"/>
    <w:rsid w:val="00E525DC"/>
    <w:rsid w:val="00E60EA0"/>
    <w:rsid w:val="00E75C75"/>
    <w:rsid w:val="00E832FA"/>
    <w:rsid w:val="00E97C17"/>
    <w:rsid w:val="00EA3809"/>
    <w:rsid w:val="00EA7A5A"/>
    <w:rsid w:val="00ED0A0D"/>
    <w:rsid w:val="00ED5121"/>
    <w:rsid w:val="00EE5A51"/>
    <w:rsid w:val="00F03DC0"/>
    <w:rsid w:val="00F26C70"/>
    <w:rsid w:val="00F2705D"/>
    <w:rsid w:val="00F422E1"/>
    <w:rsid w:val="00F64504"/>
    <w:rsid w:val="00F67BBD"/>
    <w:rsid w:val="00F71F8E"/>
    <w:rsid w:val="00F74762"/>
    <w:rsid w:val="00F95133"/>
    <w:rsid w:val="00FA6245"/>
    <w:rsid w:val="00FB0592"/>
    <w:rsid w:val="00FB0C6F"/>
    <w:rsid w:val="00FB139B"/>
    <w:rsid w:val="00FB370F"/>
    <w:rsid w:val="00FC36F0"/>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37CED8"/>
  <w15:docId w15:val="{3AC9D81E-0697-43A4-BDB0-2906BE90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DA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7447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acog.org/Patients/FAQs/Carrier-Screening-for-Spinal-Muscular-Atroph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acog.org/Patients/FAQs/Carrier-Screening" TargetMode="External"/><Relationship Id="rId2" Type="http://schemas.openxmlformats.org/officeDocument/2006/relationships/customXml" Target="../customXml/item2.xml"/><Relationship Id="rId16" Type="http://schemas.openxmlformats.org/officeDocument/2006/relationships/hyperlink" Target="http://www.smafoundation.org/about-sma/" TargetMode="External"/><Relationship Id="rId20"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ff.org/AboutCF/Testing/Genetics/" TargetMode="External"/><Relationship Id="rId10" Type="http://schemas.openxmlformats.org/officeDocument/2006/relationships/header" Target="header1.xml"/><Relationship Id="rId19" Type="http://schemas.openxmlformats.org/officeDocument/2006/relationships/hyperlink" Target="https://www.acog.org/Clinical-Guidance-and-Publications/Committee-Opinions/Committee-on-Genetics/Carrier-Screening-in-the-Age-of-Genomic-Medicine?IsMobileSet=fa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og.org/~/media/For%20Patients/faq171.pdf?dmc=1&amp;ts=20130624T113429798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03661-5C50-4842-B347-36853C10E6C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CD2150-5FEC-411D-A4E0-6CD5E8E6CE60}">
  <ds:schemaRefs>
    <ds:schemaRef ds:uri="http://schemas.microsoft.com/sharepoint/v3/contenttype/forms"/>
  </ds:schemaRefs>
</ds:datastoreItem>
</file>

<file path=customXml/itemProps3.xml><?xml version="1.0" encoding="utf-8"?>
<ds:datastoreItem xmlns:ds="http://schemas.openxmlformats.org/officeDocument/2006/customXml" ds:itemID="{2CB65618-F85F-427E-984A-04DF5DEBC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10703</Characters>
  <Application>Microsoft Office Word</Application>
  <DocSecurity>2</DocSecurity>
  <Lines>89</Lines>
  <Paragraphs>24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2019-05-23T12:58:00Z</dcterms:created>
  <dcterms:modified xsi:type="dcterms:W3CDTF">2019-05-23T12:58:00Z</dcterms:modified>
</cp:coreProperties>
</file>